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F0FEF">
      <w:pPr>
        <w:ind w:left="9720" w:hanging="6480" w:hangingChars="2700"/>
        <w:outlineLvl w:val="0"/>
        <w:rPr>
          <w:color w:val="000000" w:themeColor="text1"/>
          <w:sz w:val="36"/>
          <w14:textFill>
            <w14:solidFill>
              <w14:schemeClr w14:val="tx1"/>
            </w14:solidFill>
          </w14:textFill>
        </w:rPr>
      </w:pPr>
      <w:bookmarkStart w:id="0" w:name="_Toc20091"/>
      <w:bookmarkStart w:id="1" w:name="_Toc26424"/>
      <w:bookmarkStart w:id="2" w:name="_Toc17717"/>
      <w:bookmarkStart w:id="3" w:name="_Toc23719"/>
      <w:bookmarkStart w:id="4" w:name="_Toc140477859"/>
      <w:bookmarkStart w:id="5" w:name="_Toc14244"/>
      <w:r>
        <w:rPr>
          <w:color w:val="000000" w:themeColor="text1"/>
          <w14:textFill>
            <w14:solidFill>
              <w14:schemeClr w14:val="tx1"/>
            </w14:solidFill>
          </w14:textFill>
        </w:rPr>
        <w:drawing>
          <wp:anchor distT="0" distB="0" distL="114300" distR="114300" simplePos="0" relativeHeight="251661312" behindDoc="0" locked="0" layoutInCell="1" allowOverlap="1">
            <wp:simplePos x="0" y="0"/>
            <wp:positionH relativeFrom="column">
              <wp:posOffset>3617595</wp:posOffset>
            </wp:positionH>
            <wp:positionV relativeFrom="paragraph">
              <wp:posOffset>-537210</wp:posOffset>
            </wp:positionV>
            <wp:extent cx="1839595" cy="783590"/>
            <wp:effectExtent l="0" t="0" r="8255" b="16510"/>
            <wp:wrapNone/>
            <wp:docPr id="11" name="图片 43" descr="C:\Users\Administrator\Desktop\JJf.jpg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3" descr="C:\Users\Administrator\Desktop\JJf.jpgJJf"/>
                    <pic:cNvPicPr>
                      <a:picLocks noChangeAspect="1"/>
                    </pic:cNvPicPr>
                  </pic:nvPicPr>
                  <pic:blipFill>
                    <a:blip r:embed="rId26"/>
                    <a:srcRect/>
                    <a:stretch>
                      <a:fillRect/>
                    </a:stretch>
                  </pic:blipFill>
                  <pic:spPr>
                    <a:xfrm>
                      <a:off x="0" y="0"/>
                      <a:ext cx="1839595" cy="783590"/>
                    </a:xfrm>
                    <a:prstGeom prst="rect">
                      <a:avLst/>
                    </a:prstGeom>
                    <a:noFill/>
                    <a:ln>
                      <a:noFill/>
                    </a:ln>
                  </pic:spPr>
                </pic:pic>
              </a:graphicData>
            </a:graphic>
          </wp:anchor>
        </w:drawing>
      </w:r>
      <w:bookmarkEnd w:id="0"/>
      <w:bookmarkEnd w:id="1"/>
      <w:bookmarkEnd w:id="2"/>
      <w:bookmarkEnd w:id="3"/>
      <w:bookmarkEnd w:id="4"/>
      <w:bookmarkEnd w:id="5"/>
    </w:p>
    <w:p w14:paraId="3C68E69D">
      <w:pPr>
        <w:keepNext w:val="0"/>
        <w:keepLines w:val="0"/>
        <w:pageBreakBefore w:val="0"/>
        <w:widowControl w:val="0"/>
        <w:kinsoku/>
        <w:wordWrap/>
        <w:overflowPunct/>
        <w:topLinePunct w:val="0"/>
        <w:autoSpaceDE/>
        <w:autoSpaceDN/>
        <w:bidi w:val="0"/>
        <w:adjustRightInd/>
        <w:snapToGrid/>
        <w:spacing w:before="148" w:beforeLines="50" w:line="240" w:lineRule="auto"/>
        <w:ind w:firstLine="0" w:firstLineChars="0"/>
        <w:jc w:val="distribute"/>
        <w:textAlignment w:val="auto"/>
        <w:rPr>
          <w:rFonts w:hint="eastAsia" w:ascii="宋体" w:hAnsi="宋体" w:eastAsia="宋体" w:cs="宋体"/>
          <w:b/>
          <w:bCs/>
          <w:color w:val="000000" w:themeColor="text1"/>
          <w:sz w:val="52"/>
          <w:szCs w:val="52"/>
          <w:lang w:eastAsia="zh-CN"/>
          <w14:textFill>
            <w14:solidFill>
              <w14:schemeClr w14:val="tx1"/>
            </w14:solidFill>
          </w14:textFill>
        </w:rPr>
      </w:pPr>
      <w:r>
        <w:rPr>
          <w:rFonts w:hint="eastAsia" w:ascii="宋体" w:hAnsi="宋体" w:eastAsia="宋体" w:cs="宋体"/>
          <w:b/>
          <w:bCs/>
          <w:color w:val="000000" w:themeColor="text1"/>
          <w:sz w:val="52"/>
          <w:szCs w:val="52"/>
          <w:lang w:eastAsia="zh-CN"/>
          <w14:textFill>
            <w14:solidFill>
              <w14:schemeClr w14:val="tx1"/>
            </w14:solidFill>
          </w14:textFill>
        </w:rPr>
        <w:t>中华人民共和国国家计量技术规范</w:t>
      </w:r>
    </w:p>
    <w:p w14:paraId="74A5580C">
      <w:pPr>
        <w:spacing w:before="294" w:beforeLines="100" w:line="320" w:lineRule="exact"/>
        <w:ind w:firstLine="360" w:firstLineChars="100"/>
        <w:rPr>
          <w:rFonts w:hint="default" w:ascii="黑体" w:hAnsi="黑体" w:eastAsia="黑体"/>
          <w:color w:val="000000" w:themeColor="text1"/>
          <w:sz w:val="28"/>
          <w:szCs w:val="28"/>
          <w:lang w:val="en-US" w:eastAsia="zh-CN"/>
          <w14:textFill>
            <w14:solidFill>
              <w14:schemeClr w14:val="tx1"/>
            </w14:solidFill>
          </w14:textFill>
        </w:rPr>
      </w:pPr>
      <w:r>
        <w:rPr>
          <w:rFonts w:hint="eastAsia" w:ascii="宋体"/>
          <w:color w:val="000000" w:themeColor="text1"/>
          <w:sz w:val="36"/>
          <w:szCs w:val="36"/>
          <w14:textFill>
            <w14:solidFill>
              <w14:schemeClr w14:val="tx1"/>
            </w14:solidFill>
          </w14:textFill>
        </w:rPr>
        <w:t xml:space="preserve">                       </w:t>
      </w:r>
      <w:r>
        <w:rPr>
          <w:rFonts w:hint="eastAsia" w:ascii="宋体"/>
          <w:color w:val="000000" w:themeColor="text1"/>
          <w:sz w:val="36"/>
          <w:szCs w:val="36"/>
          <w:lang w:val="en-US" w:eastAsia="zh-CN"/>
          <w14:textFill>
            <w14:solidFill>
              <w14:schemeClr w14:val="tx1"/>
            </w14:solidFill>
          </w14:textFill>
        </w:rPr>
        <w:t xml:space="preserve">       </w:t>
      </w:r>
      <w:r>
        <w:rPr>
          <w:rFonts w:hint="eastAsia" w:ascii="宋体"/>
          <w:color w:val="000000" w:themeColor="text1"/>
          <w:sz w:val="36"/>
          <w:szCs w:val="36"/>
          <w14:textFill>
            <w14:solidFill>
              <w14:schemeClr w14:val="tx1"/>
            </w14:solidFill>
          </w14:textFill>
        </w:rPr>
        <w:t xml:space="preserve">  </w:t>
      </w:r>
      <w:r>
        <w:rPr>
          <w:color w:val="000000" w:themeColor="text1"/>
          <w:sz w:val="36"/>
          <w:szCs w:val="36"/>
          <w14:textFill>
            <w14:solidFill>
              <w14:schemeClr w14:val="tx1"/>
            </w14:solidFill>
          </w14:textFill>
        </w:rPr>
        <w:t xml:space="preserve"> </w:t>
      </w:r>
      <w:r>
        <w:rPr>
          <w:rFonts w:hint="eastAsia" w:ascii="黑体" w:hAnsi="黑体" w:eastAsia="黑体" w:cs="黑体"/>
          <w:b w:val="0"/>
          <w:bCs w:val="0"/>
          <w:color w:val="000000" w:themeColor="text1"/>
          <w:sz w:val="28"/>
          <w:szCs w:val="28"/>
          <w14:textFill>
            <w14:solidFill>
              <w14:schemeClr w14:val="tx1"/>
            </w14:solidFill>
          </w14:textFill>
        </w:rPr>
        <w:t>JJF</w:t>
      </w:r>
      <w:r>
        <w:rPr>
          <w:rFonts w:hint="eastAsia" w:ascii="黑体" w:hAnsi="黑体" w:eastAsia="黑体" w:cs="黑体"/>
          <w:b w:val="0"/>
          <w:bCs w:val="0"/>
          <w:color w:val="000000" w:themeColor="text1"/>
          <w:sz w:val="28"/>
          <w:szCs w:val="28"/>
          <w:lang w:val="en-US" w:eastAsia="zh-CN"/>
          <w14:textFill>
            <w14:solidFill>
              <w14:schemeClr w14:val="tx1"/>
            </w14:solidFill>
          </w14:textFill>
        </w:rPr>
        <w:t xml:space="preserve"> XXX</w:t>
      </w:r>
      <w:r>
        <w:rPr>
          <w:rFonts w:hint="eastAsia" w:ascii="黑体" w:hAnsi="黑体" w:eastAsia="黑体" w:cs="黑体"/>
          <w:b w:val="0"/>
          <w:bCs w:val="0"/>
          <w:color w:val="000000" w:themeColor="text1"/>
          <w:sz w:val="28"/>
          <w:szCs w:val="28"/>
          <w14:textFill>
            <w14:solidFill>
              <w14:schemeClr w14:val="tx1"/>
            </w14:solidFill>
          </w14:textFill>
        </w:rPr>
        <w:t>－20</w:t>
      </w:r>
      <w:r>
        <w:rPr>
          <w:rFonts w:hint="eastAsia" w:ascii="黑体" w:hAnsi="黑体" w:eastAsia="黑体" w:cs="黑体"/>
          <w:b w:val="0"/>
          <w:bCs w:val="0"/>
          <w:color w:val="000000" w:themeColor="text1"/>
          <w:sz w:val="28"/>
          <w:szCs w:val="28"/>
          <w:lang w:val="en-US" w:eastAsia="zh-CN"/>
          <w14:textFill>
            <w14:solidFill>
              <w14:schemeClr w14:val="tx1"/>
            </w14:solidFill>
          </w14:textFill>
        </w:rPr>
        <w:t>XX</w:t>
      </w:r>
    </w:p>
    <w:p w14:paraId="235C3802">
      <w:pPr>
        <w:rPr>
          <w:rFonts w:ascii="黑体" w:hAnsi="黑体" w:eastAsia="黑体"/>
          <w:color w:val="000000" w:themeColor="text1"/>
          <w:sz w:val="28"/>
          <w:szCs w:val="28"/>
          <w14:textFill>
            <w14:solidFill>
              <w14:schemeClr w14:val="tx1"/>
            </w14:solidFill>
          </w14:textFill>
        </w:rPr>
      </w:pPr>
      <w:r>
        <w:rPr>
          <w:rFonts w:eastAsia="黑体"/>
          <w:color w:val="000000" w:themeColor="text1"/>
          <w14:textFill>
            <w14:solidFill>
              <w14:schemeClr w14:val="tx1"/>
            </w14:solidFill>
          </w14:textFill>
        </w:rPr>
        <w:t xml:space="preserve">                                                                 </w:t>
      </w:r>
      <w:r>
        <w:rPr>
          <w:rFonts w:hint="eastAsia" w:eastAsia="黑体"/>
          <w:color w:val="000000" w:themeColor="text1"/>
          <w14:textFill>
            <w14:solidFill>
              <w14:schemeClr w14:val="tx1"/>
            </w14:solidFill>
          </w14:textFill>
        </w:rPr>
        <w:t xml:space="preserve">  </w:t>
      </w:r>
      <w:r>
        <w:rPr>
          <w:rFonts w:eastAsia="黑体"/>
          <w:color w:val="000000" w:themeColor="text1"/>
          <w14:textFill>
            <w14:solidFill>
              <w14:schemeClr w14:val="tx1"/>
            </w14:solidFill>
          </w14:textFill>
        </w:rPr>
        <w:t xml:space="preserve">            </w:t>
      </w:r>
    </w:p>
    <w:p w14:paraId="02D08626">
      <w:pPr>
        <w:ind w:firstLine="280" w:firstLineChars="100"/>
        <w:rPr>
          <w:rFonts w:ascii="黑体" w:hAnsi="黑体" w:eastAsia="黑体"/>
          <w:color w:val="000000" w:themeColor="text1"/>
          <w:sz w:val="28"/>
          <w:szCs w:val="28"/>
          <w14:textFill>
            <w14:solidFill>
              <w14:schemeClr w14:val="tx1"/>
            </w14:solidFill>
          </w14:textFill>
        </w:rPr>
      </w:pPr>
      <w:r>
        <w:rPr>
          <w:color w:val="000000" w:themeColor="text1"/>
          <w:sz w:val="28"/>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40640</wp:posOffset>
                </wp:positionH>
                <wp:positionV relativeFrom="paragraph">
                  <wp:posOffset>86360</wp:posOffset>
                </wp:positionV>
                <wp:extent cx="5939790" cy="0"/>
                <wp:effectExtent l="0" t="6350" r="0" b="6350"/>
                <wp:wrapNone/>
                <wp:docPr id="34" name="直接连接符 34"/>
                <wp:cNvGraphicFramePr/>
                <a:graphic xmlns:a="http://schemas.openxmlformats.org/drawingml/2006/main">
                  <a:graphicData uri="http://schemas.microsoft.com/office/word/2010/wordprocessingShape">
                    <wps:wsp>
                      <wps:cNvCnPr/>
                      <wps:spPr>
                        <a:xfrm>
                          <a:off x="0" y="0"/>
                          <a:ext cx="5939790" cy="0"/>
                        </a:xfrm>
                        <a:prstGeom prst="line">
                          <a:avLst/>
                        </a:prstGeom>
                        <a:ln w="1270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id="_x0000_s1026" o:spid="_x0000_s1026" o:spt="20" style="position:absolute;left:0pt;margin-left:3.2pt;margin-top:6.8pt;height:0pt;width:467.7pt;z-index:251665408;mso-width-relative:page;mso-height-relative:page;" filled="f" stroked="t" coordsize="21600,21600" o:gfxdata="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UhnRjWAAAABwEAAA8AAAAAAAAA&#10;AQAgAAAAIgAAAGRycy9kb3ducmV2LnhtbFBLAQIUABQAAAAIAIdO4kA9pNdj2gEAAJ0DAAAOAAAA&#10;AAAAAAEAIAAAACUBAABkcnMvZTJvRG9jLnhtbFBLBQYAAAAABgAGAFkBAABxBQAAAAA=&#10;">
                <v:fill on="f" focussize="0,0"/>
                <v:stroke weight="1pt" color="#000000 [3213]" joinstyle="round"/>
                <v:imagedata o:title=""/>
                <o:lock v:ext="edit" aspectratio="f"/>
              </v:line>
            </w:pict>
          </mc:Fallback>
        </mc:AlternateContent>
      </w:r>
    </w:p>
    <w:p w14:paraId="424C964F">
      <w:pPr>
        <w:ind w:firstLine="280" w:firstLineChars="100"/>
        <w:rPr>
          <w:rFonts w:ascii="黑体" w:hAnsi="黑体" w:eastAsia="黑体"/>
          <w:color w:val="000000" w:themeColor="text1"/>
          <w:sz w:val="28"/>
          <w:szCs w:val="28"/>
          <w14:textFill>
            <w14:solidFill>
              <w14:schemeClr w14:val="tx1"/>
            </w14:solidFill>
          </w14:textFill>
        </w:rPr>
      </w:pPr>
    </w:p>
    <w:p w14:paraId="08D394B3">
      <w:pPr>
        <w:spacing w:line="200" w:lineRule="exact"/>
        <w:ind w:firstLine="280" w:firstLineChars="100"/>
        <w:rPr>
          <w:rFonts w:ascii="黑体" w:hAnsi="黑体" w:eastAsia="黑体"/>
          <w:color w:val="000000" w:themeColor="text1"/>
          <w:sz w:val="28"/>
          <w:szCs w:val="28"/>
          <w14:textFill>
            <w14:solidFill>
              <w14:schemeClr w14:val="tx1"/>
            </w14:solidFill>
          </w14:textFill>
        </w:rPr>
      </w:pPr>
    </w:p>
    <w:p w14:paraId="263B0179">
      <w:pPr>
        <w:spacing w:line="200" w:lineRule="exact"/>
        <w:ind w:firstLine="280" w:firstLineChars="100"/>
        <w:rPr>
          <w:rFonts w:ascii="黑体" w:hAnsi="黑体" w:eastAsia="黑体"/>
          <w:color w:val="000000" w:themeColor="text1"/>
          <w:sz w:val="28"/>
          <w:szCs w:val="28"/>
          <w14:textFill>
            <w14:solidFill>
              <w14:schemeClr w14:val="tx1"/>
            </w14:solidFill>
          </w14:textFill>
        </w:rPr>
      </w:pPr>
    </w:p>
    <w:p w14:paraId="5D07738E">
      <w:pPr>
        <w:spacing w:line="200" w:lineRule="exact"/>
        <w:ind w:firstLine="280" w:firstLineChars="100"/>
        <w:rPr>
          <w:rFonts w:ascii="黑体" w:hAnsi="黑体" w:eastAsia="黑体"/>
          <w:color w:val="000000" w:themeColor="text1"/>
          <w:sz w:val="28"/>
          <w:szCs w:val="28"/>
          <w14:textFill>
            <w14:solidFill>
              <w14:schemeClr w14:val="tx1"/>
            </w14:solidFill>
          </w14:textFill>
        </w:rPr>
      </w:pPr>
    </w:p>
    <w:p w14:paraId="5425062C">
      <w:pPr>
        <w:spacing w:line="200" w:lineRule="exact"/>
        <w:ind w:firstLine="280" w:firstLineChars="100"/>
        <w:rPr>
          <w:rFonts w:ascii="黑体" w:hAnsi="黑体" w:eastAsia="黑体"/>
          <w:color w:val="000000" w:themeColor="text1"/>
          <w:sz w:val="28"/>
          <w:szCs w:val="28"/>
          <w14:textFill>
            <w14:solidFill>
              <w14:schemeClr w14:val="tx1"/>
            </w14:solidFill>
          </w14:textFill>
        </w:rPr>
      </w:pPr>
    </w:p>
    <w:p w14:paraId="6C0D314C">
      <w:pPr>
        <w:spacing w:line="200" w:lineRule="exact"/>
        <w:ind w:firstLine="280" w:firstLineChars="100"/>
        <w:rPr>
          <w:rFonts w:ascii="黑体" w:hAnsi="黑体" w:eastAsia="黑体"/>
          <w:color w:val="000000" w:themeColor="text1"/>
          <w:sz w:val="28"/>
          <w:szCs w:val="28"/>
          <w14:textFill>
            <w14:solidFill>
              <w14:schemeClr w14:val="tx1"/>
            </w14:solidFill>
          </w14:textFill>
        </w:rPr>
      </w:pPr>
    </w:p>
    <w:p w14:paraId="569621CD">
      <w:pPr>
        <w:spacing w:line="100" w:lineRule="exact"/>
        <w:ind w:firstLine="280" w:firstLineChars="100"/>
        <w:rPr>
          <w:rFonts w:ascii="黑体" w:hAnsi="黑体" w:eastAsia="黑体"/>
          <w:color w:val="000000" w:themeColor="text1"/>
          <w:sz w:val="28"/>
          <w:szCs w:val="28"/>
          <w14:textFill>
            <w14:solidFill>
              <w14:schemeClr w14:val="tx1"/>
            </w14:solidFill>
          </w14:textFill>
        </w:rPr>
      </w:pPr>
    </w:p>
    <w:p w14:paraId="0273BF84">
      <w:pPr>
        <w:spacing w:line="400" w:lineRule="exact"/>
        <w:ind w:firstLine="280" w:firstLineChars="100"/>
        <w:rPr>
          <w:rFonts w:ascii="黑体" w:hAnsi="黑体" w:eastAsia="黑体"/>
          <w:color w:val="000000" w:themeColor="text1"/>
          <w:sz w:val="28"/>
          <w:szCs w:val="28"/>
          <w14:textFill>
            <w14:solidFill>
              <w14:schemeClr w14:val="tx1"/>
            </w14:solidFill>
          </w14:textFill>
        </w:rPr>
      </w:pPr>
    </w:p>
    <w:p w14:paraId="71C60CE0">
      <w:pPr>
        <w:spacing w:before="147" w:beforeLines="50"/>
        <w:ind w:firstLine="0" w:firstLineChars="0"/>
        <w:jc w:val="center"/>
        <w:rPr>
          <w:rFonts w:ascii="黑体" w:hAnsi="黑体" w:eastAsia="黑体"/>
          <w:color w:val="000000" w:themeColor="text1"/>
          <w:sz w:val="52"/>
          <w:szCs w:val="52"/>
          <w14:textFill>
            <w14:solidFill>
              <w14:schemeClr w14:val="tx1"/>
            </w14:solidFill>
          </w14:textFill>
        </w:rPr>
      </w:pPr>
      <w:r>
        <w:rPr>
          <w:rFonts w:hint="eastAsia" w:ascii="黑体" w:hAnsi="黑体" w:eastAsia="黑体"/>
          <w:color w:val="000000" w:themeColor="text1"/>
          <w:sz w:val="52"/>
          <w:szCs w:val="52"/>
          <w:lang w:eastAsia="zh-CN"/>
          <w14:textFill>
            <w14:solidFill>
              <w14:schemeClr w14:val="tx1"/>
            </w14:solidFill>
          </w14:textFill>
        </w:rPr>
        <w:t>甲状腺碘测量仪</w:t>
      </w:r>
      <w:r>
        <w:rPr>
          <w:rFonts w:hint="eastAsia" w:ascii="黑体" w:hAnsi="黑体" w:eastAsia="黑体"/>
          <w:color w:val="000000" w:themeColor="text1"/>
          <w:sz w:val="52"/>
          <w:szCs w:val="52"/>
          <w14:textFill>
            <w14:solidFill>
              <w14:schemeClr w14:val="tx1"/>
            </w14:solidFill>
          </w14:textFill>
        </w:rPr>
        <w:t>校准规范</w:t>
      </w:r>
    </w:p>
    <w:p w14:paraId="6111EADC">
      <w:pPr>
        <w:spacing w:line="400" w:lineRule="exact"/>
        <w:ind w:firstLine="0" w:firstLineChars="0"/>
        <w:jc w:val="center"/>
        <w:rPr>
          <w:rFonts w:eastAsia="黑体"/>
          <w:b/>
          <w:bCs/>
          <w:color w:val="000000" w:themeColor="text1"/>
          <w:sz w:val="28"/>
          <w:szCs w:val="28"/>
          <w14:textFill>
            <w14:solidFill>
              <w14:schemeClr w14:val="tx1"/>
            </w14:solidFill>
          </w14:textFill>
        </w:rPr>
      </w:pPr>
    </w:p>
    <w:p w14:paraId="556EE5C4">
      <w:pPr>
        <w:spacing w:line="420" w:lineRule="exact"/>
        <w:ind w:firstLine="0" w:firstLineChars="0"/>
        <w:jc w:val="center"/>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14:textFill>
            <w14:solidFill>
              <w14:schemeClr w14:val="tx1"/>
            </w14:solidFill>
          </w14:textFill>
        </w:rPr>
        <w:t xml:space="preserve">Calibration Specification for </w:t>
      </w:r>
      <w:r>
        <w:rPr>
          <w:rFonts w:hint="eastAsia" w:ascii="黑体" w:hAnsi="黑体" w:eastAsia="黑体" w:cs="黑体"/>
          <w:b w:val="0"/>
          <w:bCs w:val="0"/>
          <w:color w:val="000000" w:themeColor="text1"/>
          <w:sz w:val="28"/>
          <w:szCs w:val="28"/>
          <w:lang w:val="en-US" w:eastAsia="zh-CN"/>
          <w14:textFill>
            <w14:solidFill>
              <w14:schemeClr w14:val="tx1"/>
            </w14:solidFill>
          </w14:textFill>
        </w:rPr>
        <w:t>Thyroid Iodine Meters</w:t>
      </w:r>
    </w:p>
    <w:p w14:paraId="26CEFCBB">
      <w:pPr>
        <w:ind w:firstLine="560"/>
        <w:rPr>
          <w:rFonts w:ascii="黑体" w:hAnsi="黑体" w:eastAsia="黑体"/>
          <w:color w:val="000000" w:themeColor="text1"/>
          <w:sz w:val="28"/>
          <w:szCs w:val="28"/>
          <w14:textFill>
            <w14:solidFill>
              <w14:schemeClr w14:val="tx1"/>
            </w14:solidFill>
          </w14:textFill>
        </w:rPr>
      </w:pPr>
    </w:p>
    <w:p w14:paraId="5F88B4B2">
      <w:pPr>
        <w:ind w:firstLine="560"/>
        <w:jc w:val="center"/>
        <w:rPr>
          <w:rFonts w:hint="eastAsia" w:ascii="黑体" w:hAnsi="黑体" w:eastAsia="黑体"/>
          <w:color w:val="000000" w:themeColor="text1"/>
          <w:sz w:val="28"/>
          <w:szCs w:val="28"/>
          <w:lang w:eastAsia="zh-CN"/>
          <w14:textFill>
            <w14:solidFill>
              <w14:schemeClr w14:val="tx1"/>
            </w14:solidFill>
          </w14:textFill>
        </w:rPr>
      </w:pPr>
      <w:r>
        <w:rPr>
          <w:rFonts w:hint="eastAsia" w:ascii="黑体" w:hAnsi="黑体" w:eastAsia="黑体"/>
          <w:color w:val="000000" w:themeColor="text1"/>
          <w:sz w:val="28"/>
          <w:szCs w:val="28"/>
          <w:lang w:eastAsia="zh-CN"/>
          <w14:textFill>
            <w14:solidFill>
              <w14:schemeClr w14:val="tx1"/>
            </w14:solidFill>
          </w14:textFill>
        </w:rPr>
        <w:t>（征求意见稿）</w:t>
      </w:r>
    </w:p>
    <w:p w14:paraId="2B29F29C">
      <w:pPr>
        <w:ind w:firstLine="560"/>
        <w:rPr>
          <w:rFonts w:ascii="黑体" w:hAnsi="黑体" w:eastAsia="黑体"/>
          <w:color w:val="000000" w:themeColor="text1"/>
          <w:sz w:val="28"/>
          <w:szCs w:val="28"/>
          <w14:textFill>
            <w14:solidFill>
              <w14:schemeClr w14:val="tx1"/>
            </w14:solidFill>
          </w14:textFill>
        </w:rPr>
      </w:pPr>
    </w:p>
    <w:p w14:paraId="2D644EF5">
      <w:pPr>
        <w:ind w:firstLine="560"/>
        <w:rPr>
          <w:rFonts w:ascii="黑体" w:hAnsi="黑体" w:eastAsia="黑体"/>
          <w:color w:val="000000" w:themeColor="text1"/>
          <w:sz w:val="28"/>
          <w:szCs w:val="28"/>
          <w14:textFill>
            <w14:solidFill>
              <w14:schemeClr w14:val="tx1"/>
            </w14:solidFill>
          </w14:textFill>
        </w:rPr>
      </w:pPr>
    </w:p>
    <w:p w14:paraId="3ACCC16E">
      <w:pPr>
        <w:ind w:firstLine="560"/>
        <w:rPr>
          <w:rFonts w:ascii="黑体" w:hAnsi="黑体" w:eastAsia="黑体"/>
          <w:color w:val="000000" w:themeColor="text1"/>
          <w:sz w:val="28"/>
          <w:szCs w:val="28"/>
          <w14:textFill>
            <w14:solidFill>
              <w14:schemeClr w14:val="tx1"/>
            </w14:solidFill>
          </w14:textFill>
        </w:rPr>
      </w:pPr>
    </w:p>
    <w:p w14:paraId="527B7EBB">
      <w:pPr>
        <w:ind w:firstLine="560"/>
        <w:rPr>
          <w:rFonts w:ascii="黑体" w:hAnsi="黑体" w:eastAsia="黑体"/>
          <w:color w:val="000000" w:themeColor="text1"/>
          <w:sz w:val="28"/>
          <w:szCs w:val="28"/>
          <w14:textFill>
            <w14:solidFill>
              <w14:schemeClr w14:val="tx1"/>
            </w14:solidFill>
          </w14:textFill>
        </w:rPr>
      </w:pPr>
    </w:p>
    <w:p w14:paraId="6CAED7E0">
      <w:pPr>
        <w:spacing w:line="320" w:lineRule="exact"/>
        <w:ind w:firstLine="560"/>
        <w:rPr>
          <w:rFonts w:ascii="黑体" w:hAnsi="黑体" w:eastAsia="黑体"/>
          <w:color w:val="000000" w:themeColor="text1"/>
          <w:sz w:val="28"/>
          <w:szCs w:val="28"/>
          <w14:textFill>
            <w14:solidFill>
              <w14:schemeClr w14:val="tx1"/>
            </w14:solidFill>
          </w14:textFill>
        </w:rPr>
      </w:pPr>
    </w:p>
    <w:p w14:paraId="7BF9775E">
      <w:pPr>
        <w:spacing w:line="240" w:lineRule="exact"/>
        <w:ind w:firstLine="560"/>
        <w:rPr>
          <w:rFonts w:ascii="黑体" w:hAnsi="黑体" w:eastAsia="黑体"/>
          <w:color w:val="000000" w:themeColor="text1"/>
          <w:sz w:val="28"/>
          <w:szCs w:val="28"/>
          <w14:textFill>
            <w14:solidFill>
              <w14:schemeClr w14:val="tx1"/>
            </w14:solidFill>
          </w14:textFill>
        </w:rPr>
      </w:pPr>
    </w:p>
    <w:p w14:paraId="4CFF6E9F">
      <w:pPr>
        <w:spacing w:line="360" w:lineRule="exact"/>
        <w:ind w:firstLine="560"/>
        <w:rPr>
          <w:rFonts w:ascii="黑体" w:hAnsi="黑体" w:eastAsia="黑体"/>
          <w:color w:val="000000" w:themeColor="text1"/>
          <w:sz w:val="28"/>
          <w:szCs w:val="28"/>
          <w14:textFill>
            <w14:solidFill>
              <w14:schemeClr w14:val="tx1"/>
            </w14:solidFill>
          </w14:textFill>
        </w:rPr>
      </w:pPr>
    </w:p>
    <w:p w14:paraId="335DDDD3">
      <w:pPr>
        <w:spacing w:line="360" w:lineRule="exact"/>
        <w:ind w:firstLine="560"/>
        <w:rPr>
          <w:rFonts w:ascii="黑体" w:hAnsi="黑体" w:eastAsia="黑体"/>
          <w:color w:val="000000" w:themeColor="text1"/>
          <w:sz w:val="28"/>
          <w:szCs w:val="28"/>
          <w14:textFill>
            <w14:solidFill>
              <w14:schemeClr w14:val="tx1"/>
            </w14:solidFill>
          </w14:textFill>
        </w:rPr>
      </w:pPr>
    </w:p>
    <w:p w14:paraId="0F0C8096">
      <w:pPr>
        <w:spacing w:line="360" w:lineRule="exact"/>
        <w:ind w:firstLine="560"/>
        <w:rPr>
          <w:rFonts w:ascii="黑体" w:hAnsi="黑体" w:eastAsia="黑体"/>
          <w:color w:val="000000" w:themeColor="text1"/>
          <w:sz w:val="28"/>
          <w:szCs w:val="28"/>
          <w14:textFill>
            <w14:solidFill>
              <w14:schemeClr w14:val="tx1"/>
            </w14:solidFill>
          </w14:textFill>
        </w:rPr>
      </w:pPr>
    </w:p>
    <w:p w14:paraId="2026B7D4">
      <w:pPr>
        <w:spacing w:line="320" w:lineRule="exact"/>
        <w:ind w:firstLine="560"/>
        <w:rPr>
          <w:rFonts w:ascii="黑体" w:hAnsi="黑体" w:eastAsia="黑体"/>
          <w:color w:val="000000" w:themeColor="text1"/>
          <w:sz w:val="28"/>
          <w:szCs w:val="28"/>
          <w14:textFill>
            <w14:solidFill>
              <w14:schemeClr w14:val="tx1"/>
            </w14:solidFill>
          </w14:textFill>
        </w:rPr>
      </w:pPr>
    </w:p>
    <w:p w14:paraId="425B25CC">
      <w:pPr>
        <w:spacing w:line="320" w:lineRule="exact"/>
        <w:ind w:firstLine="560"/>
        <w:rPr>
          <w:rFonts w:ascii="黑体" w:hAnsi="黑体" w:eastAsia="黑体"/>
          <w:color w:val="000000" w:themeColor="text1"/>
          <w:sz w:val="28"/>
          <w:szCs w:val="28"/>
          <w14:textFill>
            <w14:solidFill>
              <w14:schemeClr w14:val="tx1"/>
            </w14:solidFill>
          </w14:textFill>
        </w:rPr>
      </w:pPr>
    </w:p>
    <w:p w14:paraId="50110E7C">
      <w:pPr>
        <w:spacing w:line="320" w:lineRule="exact"/>
        <w:ind w:firstLine="560"/>
        <w:rPr>
          <w:rFonts w:ascii="黑体" w:hAnsi="黑体" w:eastAsia="黑体"/>
          <w:color w:val="000000" w:themeColor="text1"/>
          <w:sz w:val="28"/>
          <w:szCs w:val="28"/>
          <w14:textFill>
            <w14:solidFill>
              <w14:schemeClr w14:val="tx1"/>
            </w14:solidFill>
          </w14:textFill>
        </w:rPr>
      </w:pPr>
    </w:p>
    <w:p w14:paraId="5D68EA3C">
      <w:pPr>
        <w:ind w:firstLine="560"/>
        <w:rPr>
          <w:rFonts w:ascii="黑体" w:hAnsi="黑体" w:eastAsia="黑体"/>
          <w:color w:val="000000" w:themeColor="text1"/>
          <w:sz w:val="28"/>
          <w:szCs w:val="28"/>
          <w14:textFill>
            <w14:solidFill>
              <w14:schemeClr w14:val="tx1"/>
            </w14:solidFill>
          </w14:textFill>
        </w:rPr>
      </w:pPr>
    </w:p>
    <w:p w14:paraId="79FAE353">
      <w:pPr>
        <w:ind w:firstLine="560"/>
        <w:rPr>
          <w:rFonts w:ascii="黑体" w:hAnsi="黑体" w:eastAsia="黑体"/>
          <w:color w:val="000000" w:themeColor="text1"/>
          <w:sz w:val="28"/>
          <w:szCs w:val="28"/>
          <w14:textFill>
            <w14:solidFill>
              <w14:schemeClr w14:val="tx1"/>
            </w14:solidFill>
          </w14:textFill>
        </w:rPr>
      </w:pPr>
    </w:p>
    <w:p w14:paraId="1C45F5C1">
      <w:pPr>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20</w:t>
      </w:r>
      <w:r>
        <w:rPr>
          <w:rFonts w:hint="eastAsia" w:ascii="黑体" w:hAnsi="黑体" w:eastAsia="黑体" w:cs="黑体"/>
          <w:color w:val="000000" w:themeColor="text1"/>
          <w:sz w:val="28"/>
          <w:szCs w:val="28"/>
          <w:lang w:val="en-US" w:eastAsia="zh-CN"/>
          <w14:textFill>
            <w14:solidFill>
              <w14:schemeClr w14:val="tx1"/>
            </w14:solidFill>
          </w14:textFill>
        </w:rPr>
        <w:t>XX</w:t>
      </w:r>
      <w:r>
        <w:rPr>
          <w:rFonts w:hint="eastAsia" w:ascii="黑体" w:hAnsi="黑体" w:eastAsia="黑体" w:cs="黑体"/>
          <w:color w:val="000000" w:themeColor="text1"/>
          <w:sz w:val="28"/>
          <w:szCs w:val="28"/>
          <w14:textFill>
            <w14:solidFill>
              <w14:schemeClr w14:val="tx1"/>
            </w14:solidFill>
          </w14:textFill>
        </w:rPr>
        <w:t>-</w:t>
      </w:r>
      <w:r>
        <w:rPr>
          <w:rFonts w:hint="eastAsia" w:ascii="黑体" w:hAnsi="黑体" w:eastAsia="黑体" w:cs="黑体"/>
          <w:color w:val="000000" w:themeColor="text1"/>
          <w:sz w:val="28"/>
          <w:szCs w:val="28"/>
          <w:lang w:val="en-US" w:eastAsia="zh-CN"/>
          <w14:textFill>
            <w14:solidFill>
              <w14:schemeClr w14:val="tx1"/>
            </w14:solidFill>
          </w14:textFill>
        </w:rPr>
        <w:t>XX</w:t>
      </w:r>
      <w:r>
        <w:rPr>
          <w:rFonts w:hint="eastAsia" w:ascii="黑体" w:hAnsi="黑体" w:eastAsia="黑体" w:cs="黑体"/>
          <w:color w:val="000000" w:themeColor="text1"/>
          <w:sz w:val="28"/>
          <w:szCs w:val="28"/>
          <w14:textFill>
            <w14:solidFill>
              <w14:schemeClr w14:val="tx1"/>
            </w14:solidFill>
          </w14:textFill>
        </w:rPr>
        <w:t>-</w:t>
      </w:r>
      <w:r>
        <w:rPr>
          <w:rFonts w:hint="eastAsia" w:ascii="黑体" w:hAnsi="黑体" w:eastAsia="黑体" w:cs="黑体"/>
          <w:color w:val="000000" w:themeColor="text1"/>
          <w:sz w:val="28"/>
          <w:szCs w:val="28"/>
          <w:lang w:val="en-US" w:eastAsia="zh-CN"/>
          <w14:textFill>
            <w14:solidFill>
              <w14:schemeClr w14:val="tx1"/>
            </w14:solidFill>
          </w14:textFill>
        </w:rPr>
        <w:t>XX</w:t>
      </w:r>
      <w:r>
        <w:rPr>
          <w:rFonts w:hint="eastAsia" w:ascii="黑体" w:hAnsi="黑体" w:eastAsia="黑体" w:cs="黑体"/>
          <w:color w:val="000000" w:themeColor="text1"/>
          <w:sz w:val="28"/>
          <w:szCs w:val="28"/>
          <w14:textFill>
            <w14:solidFill>
              <w14:schemeClr w14:val="tx1"/>
            </w14:solidFill>
          </w14:textFill>
        </w:rPr>
        <w:t>发布                            20</w:t>
      </w:r>
      <w:r>
        <w:rPr>
          <w:rFonts w:hint="eastAsia" w:ascii="黑体" w:hAnsi="黑体" w:eastAsia="黑体" w:cs="黑体"/>
          <w:color w:val="000000" w:themeColor="text1"/>
          <w:sz w:val="28"/>
          <w:szCs w:val="28"/>
          <w:lang w:val="en-US" w:eastAsia="zh-CN"/>
          <w14:textFill>
            <w14:solidFill>
              <w14:schemeClr w14:val="tx1"/>
            </w14:solidFill>
          </w14:textFill>
        </w:rPr>
        <w:t>XX</w:t>
      </w:r>
      <w:r>
        <w:rPr>
          <w:rFonts w:hint="eastAsia" w:ascii="黑体" w:hAnsi="黑体" w:eastAsia="黑体" w:cs="黑体"/>
          <w:color w:val="000000" w:themeColor="text1"/>
          <w:sz w:val="28"/>
          <w:szCs w:val="28"/>
          <w14:textFill>
            <w14:solidFill>
              <w14:schemeClr w14:val="tx1"/>
            </w14:solidFill>
          </w14:textFill>
        </w:rPr>
        <w:t>-</w:t>
      </w:r>
      <w:r>
        <w:rPr>
          <w:rFonts w:hint="eastAsia" w:ascii="黑体" w:hAnsi="黑体" w:eastAsia="黑体" w:cs="黑体"/>
          <w:color w:val="000000" w:themeColor="text1"/>
          <w:sz w:val="28"/>
          <w:szCs w:val="28"/>
          <w:lang w:val="en-US" w:eastAsia="zh-CN"/>
          <w14:textFill>
            <w14:solidFill>
              <w14:schemeClr w14:val="tx1"/>
            </w14:solidFill>
          </w14:textFill>
        </w:rPr>
        <w:t>XX</w:t>
      </w:r>
      <w:r>
        <w:rPr>
          <w:rFonts w:hint="eastAsia" w:ascii="黑体" w:hAnsi="黑体" w:eastAsia="黑体" w:cs="黑体"/>
          <w:color w:val="000000" w:themeColor="text1"/>
          <w:sz w:val="28"/>
          <w:szCs w:val="28"/>
          <w14:textFill>
            <w14:solidFill>
              <w14:schemeClr w14:val="tx1"/>
            </w14:solidFill>
          </w14:textFill>
        </w:rPr>
        <w:t>-</w:t>
      </w:r>
      <w:r>
        <w:rPr>
          <w:rFonts w:hint="eastAsia" w:ascii="黑体" w:hAnsi="黑体" w:eastAsia="黑体" w:cs="黑体"/>
          <w:color w:val="000000" w:themeColor="text1"/>
          <w:sz w:val="28"/>
          <w:szCs w:val="28"/>
          <w:lang w:val="en-US" w:eastAsia="zh-CN"/>
          <w14:textFill>
            <w14:solidFill>
              <w14:schemeClr w14:val="tx1"/>
            </w14:solidFill>
          </w14:textFill>
        </w:rPr>
        <w:t>XX</w:t>
      </w:r>
      <w:r>
        <w:rPr>
          <w:rFonts w:hint="eastAsia" w:ascii="黑体" w:hAnsi="黑体" w:eastAsia="黑体" w:cs="黑体"/>
          <w:color w:val="000000" w:themeColor="text1"/>
          <w:sz w:val="28"/>
          <w:szCs w:val="28"/>
          <w14:textFill>
            <w14:solidFill>
              <w14:schemeClr w14:val="tx1"/>
            </w14:solidFill>
          </w14:textFill>
        </w:rPr>
        <w:t>实施</w:t>
      </w:r>
    </w:p>
    <w:p w14:paraId="36BFA198">
      <w:pPr>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2540</wp:posOffset>
                </wp:positionH>
                <wp:positionV relativeFrom="paragraph">
                  <wp:posOffset>76200</wp:posOffset>
                </wp:positionV>
                <wp:extent cx="5939790" cy="0"/>
                <wp:effectExtent l="0" t="6350" r="0" b="6350"/>
                <wp:wrapNone/>
                <wp:docPr id="19" name="直接连接符 19"/>
                <wp:cNvGraphicFramePr/>
                <a:graphic xmlns:a="http://schemas.openxmlformats.org/drawingml/2006/main">
                  <a:graphicData uri="http://schemas.microsoft.com/office/word/2010/wordprocessingShape">
                    <wps:wsp>
                      <wps:cNvCnPr/>
                      <wps:spPr>
                        <a:xfrm>
                          <a:off x="1156970" y="2987040"/>
                          <a:ext cx="5939790" cy="0"/>
                        </a:xfrm>
                        <a:prstGeom prst="line">
                          <a:avLst/>
                        </a:prstGeom>
                        <a:ln w="1270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id="_x0000_s1026" o:spid="_x0000_s1026" o:spt="20" style="position:absolute;left:0pt;margin-left:0.2pt;margin-top:6pt;height:0pt;width:467.7pt;z-index:251663360;mso-width-relative:page;mso-height-relative:page;" filled="f" stroked="t" coordsize="21600,21600" o:gfxdata="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47JFz1AAAAAYB&#10;AAAPAAAAAAAAAAEAIAAAACIAAABkcnMvZG93bnJldi54bWxQSwECFAAUAAAACACHTuJAkFomEeYB&#10;AACpAwAADgAAAAAAAAABACAAAAAjAQAAZHJzL2Uyb0RvYy54bWxQSwUGAAAAAAYABgBZAQAAewUA&#10;AAAA&#10;">
                <v:fill on="f" focussize="0,0"/>
                <v:stroke weight="1pt" color="#000000 [3213]" joinstyle="round"/>
                <v:imagedata o:title=""/>
                <o:lock v:ext="edit" aspectratio="f"/>
              </v:line>
            </w:pict>
          </mc:Fallback>
        </mc:AlternateContent>
      </w:r>
    </w:p>
    <w:p w14:paraId="7AA12BF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黑体"/>
          <w:b/>
          <w:bCs/>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18" w:right="1304" w:bottom="1418" w:left="1361" w:header="851" w:footer="992" w:gutter="0"/>
          <w:pgNumType w:fmt="upperRoman" w:start="1"/>
          <w:cols w:space="720" w:num="1"/>
          <w:titlePg/>
          <w:docGrid w:linePitch="312" w:charSpace="0"/>
        </w:sectPr>
      </w:pPr>
      <w:r>
        <w:rPr>
          <w:rFonts w:hint="eastAsia"/>
          <w:sz w:val="44"/>
          <w:szCs w:val="44"/>
          <w:lang w:eastAsia="zh-CN"/>
        </w:rPr>
        <w:t>国</w:t>
      </w:r>
      <w:r>
        <w:rPr>
          <w:rFonts w:hint="eastAsia"/>
          <w:sz w:val="44"/>
          <w:szCs w:val="44"/>
          <w:lang w:val="en-US" w:eastAsia="zh-CN"/>
        </w:rPr>
        <w:t xml:space="preserve"> </w:t>
      </w:r>
      <w:r>
        <w:rPr>
          <w:rFonts w:hint="eastAsia"/>
          <w:sz w:val="44"/>
          <w:szCs w:val="44"/>
          <w:lang w:eastAsia="zh-CN"/>
        </w:rPr>
        <w:t>家</w:t>
      </w:r>
      <w:r>
        <w:rPr>
          <w:rFonts w:hint="eastAsia"/>
          <w:sz w:val="44"/>
          <w:szCs w:val="44"/>
          <w:lang w:val="en-US" w:eastAsia="zh-CN"/>
        </w:rPr>
        <w:t xml:space="preserve"> </w:t>
      </w:r>
      <w:r>
        <w:rPr>
          <w:rFonts w:hint="eastAsia"/>
          <w:sz w:val="44"/>
          <w:szCs w:val="44"/>
          <w:lang w:eastAsia="zh-CN"/>
        </w:rPr>
        <w:t>市</w:t>
      </w:r>
      <w:r>
        <w:rPr>
          <w:rFonts w:hint="eastAsia"/>
          <w:sz w:val="44"/>
          <w:szCs w:val="44"/>
          <w:lang w:val="en-US" w:eastAsia="zh-CN"/>
        </w:rPr>
        <w:t xml:space="preserve"> </w:t>
      </w:r>
      <w:r>
        <w:rPr>
          <w:rFonts w:hint="eastAsia"/>
          <w:sz w:val="44"/>
          <w:szCs w:val="44"/>
          <w:lang w:eastAsia="zh-CN"/>
        </w:rPr>
        <w:t>场</w:t>
      </w:r>
      <w:r>
        <w:rPr>
          <w:rFonts w:hint="eastAsia"/>
          <w:sz w:val="44"/>
          <w:szCs w:val="44"/>
          <w:lang w:val="en-US" w:eastAsia="zh-CN"/>
        </w:rPr>
        <w:t xml:space="preserve"> </w:t>
      </w:r>
      <w:r>
        <w:rPr>
          <w:rFonts w:hint="eastAsia"/>
          <w:sz w:val="44"/>
          <w:szCs w:val="44"/>
          <w:lang w:eastAsia="zh-CN"/>
        </w:rPr>
        <w:t>监</w:t>
      </w:r>
      <w:r>
        <w:rPr>
          <w:rFonts w:hint="eastAsia"/>
          <w:sz w:val="44"/>
          <w:szCs w:val="44"/>
          <w:lang w:val="en-US" w:eastAsia="zh-CN"/>
        </w:rPr>
        <w:t xml:space="preserve"> </w:t>
      </w:r>
      <w:r>
        <w:rPr>
          <w:rFonts w:hint="eastAsia"/>
          <w:sz w:val="44"/>
          <w:szCs w:val="44"/>
          <w:lang w:eastAsia="zh-CN"/>
        </w:rPr>
        <w:t>督</w:t>
      </w:r>
      <w:r>
        <w:rPr>
          <w:rFonts w:hint="eastAsia"/>
          <w:sz w:val="44"/>
          <w:szCs w:val="44"/>
          <w:lang w:val="en-US" w:eastAsia="zh-CN"/>
        </w:rPr>
        <w:t xml:space="preserve"> </w:t>
      </w:r>
      <w:r>
        <w:rPr>
          <w:rFonts w:hint="eastAsia"/>
          <w:sz w:val="44"/>
          <w:szCs w:val="44"/>
          <w:lang w:eastAsia="zh-CN"/>
        </w:rPr>
        <w:t>管</w:t>
      </w:r>
      <w:r>
        <w:rPr>
          <w:rFonts w:hint="eastAsia"/>
          <w:sz w:val="44"/>
          <w:szCs w:val="44"/>
          <w:lang w:val="en-US" w:eastAsia="zh-CN"/>
        </w:rPr>
        <w:t xml:space="preserve"> </w:t>
      </w:r>
      <w:r>
        <w:rPr>
          <w:rFonts w:hint="eastAsia"/>
          <w:sz w:val="44"/>
          <w:szCs w:val="44"/>
          <w:lang w:eastAsia="zh-CN"/>
        </w:rPr>
        <w:t>理</w:t>
      </w:r>
      <w:r>
        <w:rPr>
          <w:rFonts w:hint="eastAsia"/>
          <w:sz w:val="44"/>
          <w:szCs w:val="44"/>
          <w:lang w:val="en-US" w:eastAsia="zh-CN"/>
        </w:rPr>
        <w:t xml:space="preserve"> </w:t>
      </w:r>
      <w:r>
        <w:rPr>
          <w:rFonts w:hint="eastAsia"/>
          <w:sz w:val="44"/>
          <w:szCs w:val="44"/>
          <w:lang w:eastAsia="zh-CN"/>
        </w:rPr>
        <w:t>总</w:t>
      </w:r>
      <w:r>
        <w:rPr>
          <w:rFonts w:hint="eastAsia"/>
          <w:sz w:val="44"/>
          <w:szCs w:val="44"/>
          <w:lang w:val="en-US" w:eastAsia="zh-CN"/>
        </w:rPr>
        <w:t xml:space="preserve"> </w:t>
      </w:r>
      <w:r>
        <w:rPr>
          <w:rFonts w:hint="eastAsia"/>
          <w:sz w:val="44"/>
          <w:szCs w:val="44"/>
          <w:lang w:eastAsia="zh-CN"/>
        </w:rPr>
        <w:t>局</w:t>
      </w:r>
      <w:r>
        <w:rPr>
          <w:rFonts w:eastAsia="黑体"/>
          <w:b/>
          <w:bCs/>
          <w:sz w:val="30"/>
        </w:rPr>
        <w:t xml:space="preserve">  </w:t>
      </w:r>
      <w:r>
        <w:rPr>
          <w:rFonts w:eastAsia="黑体"/>
          <w:bCs/>
          <w:sz w:val="28"/>
          <w:szCs w:val="28"/>
        </w:rPr>
        <w:t>发 布</w:t>
      </w:r>
    </w:p>
    <w:p w14:paraId="29EB5AE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b/>
          <w:bCs/>
          <w:color w:val="000000" w:themeColor="text1"/>
          <w:lang w:eastAsia="zh-CN"/>
          <w14:textFill>
            <w14:solidFill>
              <w14:schemeClr w14:val="tx1"/>
            </w14:solidFill>
          </w14:textFill>
        </w:rPr>
      </w:pPr>
    </w:p>
    <w:p w14:paraId="5644619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b/>
          <w:bCs/>
          <w:color w:val="000000" w:themeColor="text1"/>
          <w:lang w:eastAsia="zh-CN"/>
          <w14:textFill>
            <w14:solidFill>
              <w14:schemeClr w14:val="tx1"/>
            </w14:solidFill>
          </w14:textFill>
        </w:rPr>
      </w:pPr>
    </w:p>
    <w:p w14:paraId="61F95513">
      <w:pPr>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黑体" w:eastAsia="黑体"/>
          <w:color w:val="000000" w:themeColor="text1"/>
          <w:sz w:val="44"/>
          <w:szCs w:val="44"/>
          <w:lang w:eastAsia="zh-CN"/>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3853815</wp:posOffset>
                </wp:positionH>
                <wp:positionV relativeFrom="paragraph">
                  <wp:posOffset>248285</wp:posOffset>
                </wp:positionV>
                <wp:extent cx="1725295" cy="791845"/>
                <wp:effectExtent l="0" t="0" r="0" b="0"/>
                <wp:wrapNone/>
                <wp:docPr id="5" name="矩形 58"/>
                <wp:cNvGraphicFramePr/>
                <a:graphic xmlns:a="http://schemas.openxmlformats.org/drawingml/2006/main">
                  <a:graphicData uri="http://schemas.microsoft.com/office/word/2010/wordprocessingShape">
                    <wps:wsp>
                      <wps:cNvSpPr>
                        <a:spLocks noChangeArrowheads="1"/>
                      </wps:cNvSpPr>
                      <wps:spPr bwMode="auto">
                        <a:xfrm>
                          <a:off x="0" y="0"/>
                          <a:ext cx="1725295" cy="791845"/>
                        </a:xfrm>
                        <a:prstGeom prst="rect">
                          <a:avLst/>
                        </a:prstGeom>
                        <a:noFill/>
                        <a:ln>
                          <a:noFill/>
                        </a:ln>
                        <a:effectLst/>
                      </wps:spPr>
                      <wps:txbx>
                        <w:txbxContent>
                          <w:p w14:paraId="10E68F83">
                            <w:pPr>
                              <w:spacing w:line="240" w:lineRule="auto"/>
                              <w:ind w:firstLine="0" w:firstLineChars="0"/>
                              <w:jc w:val="center"/>
                              <w:rPr>
                                <w:rFonts w:hint="default" w:eastAsia="黑体"/>
                                <w:sz w:val="26"/>
                                <w:szCs w:val="26"/>
                                <w:lang w:val="en-US" w:eastAsia="zh-CN"/>
                              </w:rPr>
                            </w:pPr>
                            <w:r>
                              <w:rPr>
                                <w:rFonts w:eastAsia="黑体"/>
                                <w:b/>
                                <w:bCs/>
                                <w:sz w:val="26"/>
                                <w:szCs w:val="26"/>
                              </w:rPr>
                              <w:t>JJF</w:t>
                            </w:r>
                            <w:r>
                              <w:rPr>
                                <w:rFonts w:hint="eastAsia" w:eastAsia="黑体"/>
                                <w:b/>
                                <w:bCs/>
                                <w:sz w:val="26"/>
                                <w:szCs w:val="26"/>
                                <w:lang w:val="en-US" w:eastAsia="zh-CN"/>
                              </w:rPr>
                              <w:t xml:space="preserve"> XXX</w:t>
                            </w:r>
                            <w:r>
                              <w:rPr>
                                <w:rFonts w:hint="eastAsia" w:eastAsia="黑体"/>
                                <w:b/>
                                <w:bCs/>
                                <w:sz w:val="26"/>
                                <w:szCs w:val="26"/>
                              </w:rPr>
                              <w:t>—</w:t>
                            </w:r>
                            <w:r>
                              <w:rPr>
                                <w:rFonts w:eastAsia="黑体"/>
                                <w:b/>
                                <w:bCs/>
                                <w:sz w:val="26"/>
                                <w:szCs w:val="26"/>
                              </w:rPr>
                              <w:t>20</w:t>
                            </w:r>
                            <w:r>
                              <w:rPr>
                                <w:rFonts w:hint="eastAsia" w:eastAsia="黑体"/>
                                <w:b/>
                                <w:bCs/>
                                <w:sz w:val="26"/>
                                <w:szCs w:val="26"/>
                                <w:lang w:val="en-US" w:eastAsia="zh-CN"/>
                              </w:rPr>
                              <w:t>XX</w:t>
                            </w:r>
                          </w:p>
                        </w:txbxContent>
                      </wps:txbx>
                      <wps:bodyPr rot="0" vert="horz" wrap="square" lIns="91440" tIns="45720" rIns="91440" bIns="45720" anchor="t" anchorCtr="0" upright="1">
                        <a:noAutofit/>
                      </wps:bodyPr>
                    </wps:wsp>
                  </a:graphicData>
                </a:graphic>
              </wp:anchor>
            </w:drawing>
          </mc:Choice>
          <mc:Fallback>
            <w:pict>
              <v:rect id="矩形 58" o:spid="_x0000_s1026" o:spt="1" style="position:absolute;left:0pt;margin-left:303.45pt;margin-top:19.55pt;height:62.35pt;width:135.85pt;z-index:251660288;mso-width-relative:page;mso-height-relative:page;" filled="f" stroked="f" coordsize="21600,21600" o:gfxdata="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4kLNnbAAAACgEAAA8AAAAA&#10;AAAAAQAgAAAAIgAAAGRycy9kb3ducmV2LnhtbFBLAQIUABQAAAAIAIdO4kAo6FIXEQIAABcEAAAO&#10;AAAAAAAAAAEAIAAAACoBAABkcnMvZTJvRG9jLnhtbFBLBQYAAAAABgAGAFkBAACtBQAAAAA=&#10;">
                <v:fill on="f" focussize="0,0"/>
                <v:stroke on="f"/>
                <v:imagedata o:title=""/>
                <o:lock v:ext="edit" aspectratio="f"/>
                <v:textbox>
                  <w:txbxContent>
                    <w:p w14:paraId="10E68F83">
                      <w:pPr>
                        <w:spacing w:line="240" w:lineRule="auto"/>
                        <w:ind w:firstLine="0" w:firstLineChars="0"/>
                        <w:jc w:val="center"/>
                        <w:rPr>
                          <w:rFonts w:hint="default" w:eastAsia="黑体"/>
                          <w:sz w:val="26"/>
                          <w:szCs w:val="26"/>
                          <w:lang w:val="en-US" w:eastAsia="zh-CN"/>
                        </w:rPr>
                      </w:pPr>
                      <w:r>
                        <w:rPr>
                          <w:rFonts w:eastAsia="黑体"/>
                          <w:b/>
                          <w:bCs/>
                          <w:sz w:val="26"/>
                          <w:szCs w:val="26"/>
                        </w:rPr>
                        <w:t>JJF</w:t>
                      </w:r>
                      <w:r>
                        <w:rPr>
                          <w:rFonts w:hint="eastAsia" w:eastAsia="黑体"/>
                          <w:b/>
                          <w:bCs/>
                          <w:sz w:val="26"/>
                          <w:szCs w:val="26"/>
                          <w:lang w:val="en-US" w:eastAsia="zh-CN"/>
                        </w:rPr>
                        <w:t xml:space="preserve"> XXX</w:t>
                      </w:r>
                      <w:r>
                        <w:rPr>
                          <w:rFonts w:hint="eastAsia" w:eastAsia="黑体"/>
                          <w:b/>
                          <w:bCs/>
                          <w:sz w:val="26"/>
                          <w:szCs w:val="26"/>
                        </w:rPr>
                        <w:t>—</w:t>
                      </w:r>
                      <w:r>
                        <w:rPr>
                          <w:rFonts w:eastAsia="黑体"/>
                          <w:b/>
                          <w:bCs/>
                          <w:sz w:val="26"/>
                          <w:szCs w:val="26"/>
                        </w:rPr>
                        <w:t>20</w:t>
                      </w:r>
                      <w:r>
                        <w:rPr>
                          <w:rFonts w:hint="eastAsia" w:eastAsia="黑体"/>
                          <w:b/>
                          <w:bCs/>
                          <w:sz w:val="26"/>
                          <w:szCs w:val="26"/>
                          <w:lang w:val="en-US" w:eastAsia="zh-CN"/>
                        </w:rPr>
                        <w:t>XX</w:t>
                      </w:r>
                    </w:p>
                  </w:txbxContent>
                </v:textbox>
              </v:rect>
            </w:pict>
          </mc:Fallback>
        </mc:AlternateContent>
      </w:r>
      <w:r>
        <w:rPr>
          <w:color w:val="000000" w:themeColor="text1"/>
          <w14:textFill>
            <w14:solidFill>
              <w14:schemeClr w14:val="tx1"/>
            </w14:solidFill>
          </w14:textFill>
        </w:rPr>
        <w:drawing>
          <wp:anchor distT="0" distB="0" distL="114300" distR="114300" simplePos="0" relativeHeight="251659264" behindDoc="1" locked="0" layoutInCell="1" allowOverlap="1">
            <wp:simplePos x="0" y="0"/>
            <wp:positionH relativeFrom="column">
              <wp:posOffset>3851910</wp:posOffset>
            </wp:positionH>
            <wp:positionV relativeFrom="paragraph">
              <wp:posOffset>77470</wp:posOffset>
            </wp:positionV>
            <wp:extent cx="1692275" cy="828040"/>
            <wp:effectExtent l="0" t="0" r="3175" b="10160"/>
            <wp:wrapNone/>
            <wp:docPr id="1" name="图片 59" descr="20171102165818"/>
            <wp:cNvGraphicFramePr/>
            <a:graphic xmlns:a="http://schemas.openxmlformats.org/drawingml/2006/main">
              <a:graphicData uri="http://schemas.openxmlformats.org/drawingml/2006/picture">
                <pic:pic xmlns:pic="http://schemas.openxmlformats.org/drawingml/2006/picture">
                  <pic:nvPicPr>
                    <pic:cNvPr id="1" name="图片 59" descr="20171102165818"/>
                    <pic:cNvPicPr/>
                  </pic:nvPicPr>
                  <pic:blipFill>
                    <a:blip r:embed="rId27"/>
                    <a:stretch>
                      <a:fillRect/>
                    </a:stretch>
                  </pic:blipFill>
                  <pic:spPr>
                    <a:xfrm>
                      <a:off x="0" y="0"/>
                      <a:ext cx="1692275" cy="828040"/>
                    </a:xfrm>
                    <a:prstGeom prst="rect">
                      <a:avLst/>
                    </a:prstGeom>
                    <a:noFill/>
                    <a:ln>
                      <a:noFill/>
                    </a:ln>
                  </pic:spPr>
                </pic:pic>
              </a:graphicData>
            </a:graphic>
          </wp:anchor>
        </w:drawing>
      </w:r>
      <w:r>
        <w:rPr>
          <w:rFonts w:hint="eastAsia" w:ascii="黑体" w:eastAsia="黑体"/>
          <w:color w:val="000000" w:themeColor="text1"/>
          <w:sz w:val="44"/>
          <w:szCs w:val="44"/>
          <w:lang w:eastAsia="zh-CN"/>
          <w14:textFill>
            <w14:solidFill>
              <w14:schemeClr w14:val="tx1"/>
            </w14:solidFill>
          </w14:textFill>
        </w:rPr>
        <w:t>甲状腺碘测量仪校准规范</w:t>
      </w:r>
    </w:p>
    <w:p w14:paraId="7F058F6D">
      <w:pPr>
        <w:keepNext w:val="0"/>
        <w:keepLines w:val="0"/>
        <w:pageBreakBefore w:val="0"/>
        <w:widowControl w:val="0"/>
        <w:kinsoku/>
        <w:wordWrap/>
        <w:overflowPunct/>
        <w:topLinePunct w:val="0"/>
        <w:autoSpaceDE/>
        <w:autoSpaceDN/>
        <w:bidi w:val="0"/>
        <w:adjustRightInd/>
        <w:snapToGrid/>
        <w:spacing w:before="148" w:beforeLines="50" w:line="360" w:lineRule="auto"/>
        <w:ind w:firstLine="840" w:firstLineChars="300"/>
        <w:jc w:val="both"/>
        <w:textAlignment w:val="auto"/>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14:textFill>
            <w14:solidFill>
              <w14:schemeClr w14:val="tx1"/>
            </w14:solidFill>
          </w14:textFill>
        </w:rPr>
        <w:t>Calibration Specification</w:t>
      </w:r>
      <w:r>
        <w:rPr>
          <w:rFonts w:hint="eastAsia" w:ascii="黑体" w:hAnsi="黑体" w:eastAsia="黑体" w:cs="黑体"/>
          <w:b w:val="0"/>
          <w:bCs w:val="0"/>
          <w:color w:val="000000" w:themeColor="text1"/>
          <w:sz w:val="28"/>
          <w:szCs w:val="28"/>
          <w:lang w:val="en-US" w:eastAsia="zh-CN"/>
          <w14:textFill>
            <w14:solidFill>
              <w14:schemeClr w14:val="tx1"/>
            </w14:solidFill>
          </w14:textFill>
        </w:rPr>
        <w:t xml:space="preserve"> f</w:t>
      </w:r>
      <w:r>
        <w:rPr>
          <w:rFonts w:hint="eastAsia" w:ascii="黑体" w:hAnsi="黑体" w:eastAsia="黑体" w:cs="黑体"/>
          <w:b w:val="0"/>
          <w:bCs w:val="0"/>
          <w:color w:val="000000" w:themeColor="text1"/>
          <w:sz w:val="28"/>
          <w:szCs w:val="28"/>
          <w14:textFill>
            <w14:solidFill>
              <w14:schemeClr w14:val="tx1"/>
            </w14:solidFill>
          </w14:textFill>
        </w:rPr>
        <w:t>or</w:t>
      </w:r>
    </w:p>
    <w:p w14:paraId="1951623E">
      <w:pPr>
        <w:keepNext w:val="0"/>
        <w:keepLines w:val="0"/>
        <w:pageBreakBefore w:val="0"/>
        <w:widowControl w:val="0"/>
        <w:kinsoku/>
        <w:wordWrap/>
        <w:overflowPunct/>
        <w:topLinePunct w:val="0"/>
        <w:autoSpaceDE/>
        <w:autoSpaceDN/>
        <w:bidi w:val="0"/>
        <w:adjustRightInd/>
        <w:snapToGrid/>
        <w:spacing w:line="360" w:lineRule="auto"/>
        <w:ind w:firstLine="1260" w:firstLineChars="450"/>
        <w:jc w:val="both"/>
        <w:textAlignment w:val="auto"/>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lang w:val="en-US" w:eastAsia="zh-CN"/>
          <w14:textFill>
            <w14:solidFill>
              <w14:schemeClr w14:val="tx1"/>
            </w14:solidFill>
          </w14:textFill>
        </w:rPr>
        <w:t>Thyroid Iodine Meters</w:t>
      </w:r>
    </w:p>
    <w:p w14:paraId="4469D2DA">
      <w:pPr>
        <w:spacing w:line="360" w:lineRule="auto"/>
        <w:ind w:firstLine="482"/>
        <w:rPr>
          <w:b/>
          <w:bCs/>
          <w:color w:val="000000" w:themeColor="text1"/>
          <w14:textFill>
            <w14:solidFill>
              <w14:schemeClr w14:val="tx1"/>
            </w14:solidFill>
          </w14:textFill>
        </w:rPr>
      </w:pPr>
    </w:p>
    <w:p w14:paraId="4F4454CE">
      <w:pPr>
        <w:ind w:firstLine="840" w:firstLineChars="300"/>
        <w:rPr>
          <w:b/>
          <w:bCs/>
          <w:color w:val="000000" w:themeColor="text1"/>
          <w14:textFill>
            <w14:solidFill>
              <w14:schemeClr w14:val="tx1"/>
            </w14:solidFill>
          </w14:textFill>
        </w:rPr>
      </w:pPr>
      <w:r>
        <w:rPr>
          <w:color w:val="000000" w:themeColor="text1"/>
          <w:sz w:val="28"/>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-35560</wp:posOffset>
                </wp:positionH>
                <wp:positionV relativeFrom="paragraph">
                  <wp:posOffset>139065</wp:posOffset>
                </wp:positionV>
                <wp:extent cx="5615940" cy="0"/>
                <wp:effectExtent l="0" t="6350" r="0" b="6350"/>
                <wp:wrapNone/>
                <wp:docPr id="42" name="直接连接符 42"/>
                <wp:cNvGraphicFramePr/>
                <a:graphic xmlns:a="http://schemas.openxmlformats.org/drawingml/2006/main">
                  <a:graphicData uri="http://schemas.microsoft.com/office/word/2010/wordprocessingShape">
                    <wps:wsp>
                      <wps:cNvCnPr/>
                      <wps:spPr>
                        <a:xfrm>
                          <a:off x="0" y="0"/>
                          <a:ext cx="5615940" cy="0"/>
                        </a:xfrm>
                        <a:prstGeom prst="line">
                          <a:avLst/>
                        </a:prstGeom>
                        <a:ln w="1270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id="_x0000_s1026" o:spid="_x0000_s1026" o:spt="20" style="position:absolute;left:0pt;margin-left:-2.8pt;margin-top:10.95pt;height:0pt;width:442.2pt;z-index:251666432;mso-width-relative:page;mso-height-relative:page;" filled="f" stroked="t" coordsize="21600,21600" o:gfxdata="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QD0bjXAAAACAEAAA8AAAAAAAAA&#10;AQAgAAAAIgAAAGRycy9kb3ducmV2LnhtbFBLAQIUABQAAAAIAIdO4kBQupx02QEAAJ0DAAAOAAAA&#10;AAAAAAEAIAAAACYBAABkcnMvZTJvRG9jLnhtbFBLBQYAAAAABgAGAFkBAABxBQAAAAA=&#10;">
                <v:fill on="f" focussize="0,0"/>
                <v:stroke weight="1pt" color="#000000 [3213]" joinstyle="round"/>
                <v:imagedata o:title=""/>
                <o:lock v:ext="edit" aspectratio="f"/>
              </v:line>
            </w:pict>
          </mc:Fallback>
        </mc:AlternateContent>
      </w:r>
    </w:p>
    <w:p w14:paraId="5D7ECF28">
      <w:pPr>
        <w:ind w:firstLine="723" w:firstLineChars="300"/>
        <w:rPr>
          <w:b/>
          <w:bCs/>
          <w:color w:val="000000" w:themeColor="text1"/>
          <w14:textFill>
            <w14:solidFill>
              <w14:schemeClr w14:val="tx1"/>
            </w14:solidFill>
          </w14:textFill>
        </w:rPr>
      </w:pPr>
    </w:p>
    <w:p w14:paraId="43B0CDF9">
      <w:pPr>
        <w:ind w:firstLine="140" w:firstLineChars="50"/>
        <w:rPr>
          <w:rFonts w:ascii="黑体" w:hAnsi="黑体" w:eastAsia="黑体"/>
          <w:color w:val="000000" w:themeColor="text1"/>
          <w:sz w:val="28"/>
          <w:szCs w:val="28"/>
          <w14:textFill>
            <w14:solidFill>
              <w14:schemeClr w14:val="tx1"/>
            </w14:solidFill>
          </w14:textFill>
        </w:rPr>
      </w:pPr>
    </w:p>
    <w:p w14:paraId="2D65575E">
      <w:pPr>
        <w:ind w:firstLine="560"/>
        <w:rPr>
          <w:rFonts w:ascii="黑体" w:hAnsi="黑体" w:eastAsia="黑体"/>
          <w:color w:val="000000" w:themeColor="text1"/>
          <w:sz w:val="28"/>
          <w:szCs w:val="28"/>
          <w14:textFill>
            <w14:solidFill>
              <w14:schemeClr w14:val="tx1"/>
            </w14:solidFill>
          </w14:textFill>
        </w:rPr>
      </w:pPr>
    </w:p>
    <w:p w14:paraId="1FAF2FF4">
      <w:pPr>
        <w:ind w:firstLine="560"/>
        <w:rPr>
          <w:rFonts w:ascii="黑体" w:hAnsi="黑体" w:eastAsia="黑体"/>
          <w:color w:val="000000" w:themeColor="text1"/>
          <w:sz w:val="28"/>
          <w:szCs w:val="28"/>
          <w14:textFill>
            <w14:solidFill>
              <w14:schemeClr w14:val="tx1"/>
            </w14:solidFill>
          </w14:textFill>
        </w:rPr>
      </w:pPr>
    </w:p>
    <w:p w14:paraId="6976A4D1">
      <w:pPr>
        <w:ind w:firstLine="560"/>
        <w:rPr>
          <w:rFonts w:ascii="黑体" w:hAnsi="黑体" w:eastAsia="黑体"/>
          <w:color w:val="000000" w:themeColor="text1"/>
          <w:sz w:val="28"/>
          <w:szCs w:val="28"/>
          <w14:textFill>
            <w14:solidFill>
              <w14:schemeClr w14:val="tx1"/>
            </w14:solidFill>
          </w14:textFill>
        </w:rPr>
      </w:pPr>
    </w:p>
    <w:p w14:paraId="5A9B2657">
      <w:pPr>
        <w:ind w:firstLine="480"/>
      </w:pPr>
    </w:p>
    <w:p w14:paraId="7E3D37E0">
      <w:pPr>
        <w:ind w:firstLine="560"/>
        <w:rPr>
          <w:rFonts w:ascii="黑体" w:hAnsi="黑体" w:eastAsia="黑体"/>
          <w:color w:val="000000" w:themeColor="text1"/>
          <w:sz w:val="28"/>
          <w:szCs w:val="28"/>
          <w14:textFill>
            <w14:solidFill>
              <w14:schemeClr w14:val="tx1"/>
            </w14:solidFill>
          </w14:textFill>
        </w:rPr>
      </w:pPr>
    </w:p>
    <w:p w14:paraId="0B3C9972">
      <w:pPr>
        <w:ind w:firstLine="560"/>
        <w:rPr>
          <w:rFonts w:ascii="黑体" w:hAnsi="黑体" w:eastAsia="黑体"/>
          <w:color w:val="000000" w:themeColor="text1"/>
          <w:sz w:val="28"/>
          <w:szCs w:val="28"/>
          <w14:textFill>
            <w14:solidFill>
              <w14:schemeClr w14:val="tx1"/>
            </w14:solidFill>
          </w14:textFill>
        </w:rPr>
      </w:pPr>
    </w:p>
    <w:p w14:paraId="1A6A5699">
      <w:pPr>
        <w:keepNext w:val="0"/>
        <w:keepLines w:val="0"/>
        <w:pageBreakBefore w:val="0"/>
        <w:widowControl w:val="0"/>
        <w:kinsoku/>
        <w:wordWrap/>
        <w:overflowPunct/>
        <w:topLinePunct w:val="0"/>
        <w:autoSpaceDE/>
        <w:autoSpaceDN/>
        <w:bidi w:val="0"/>
        <w:adjustRightInd/>
        <w:snapToGrid/>
        <w:spacing w:line="360" w:lineRule="auto"/>
        <w:ind w:left="0" w:leftChars="0" w:firstLine="840" w:firstLineChars="300"/>
        <w:textAlignment w:val="auto"/>
        <w:rPr>
          <w:rFonts w:ascii="黑体" w:hAnsi="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归  口 单 位：</w:t>
      </w:r>
      <w:r>
        <w:rPr>
          <w:rFonts w:hint="eastAsia" w:ascii="宋体" w:hAnsi="宋体" w:cs="宋体"/>
          <w:color w:val="000000" w:themeColor="text1"/>
          <w:sz w:val="28"/>
          <w:szCs w:val="28"/>
          <w:lang w:eastAsia="zh-CN"/>
          <w14:textFill>
            <w14:solidFill>
              <w14:schemeClr w14:val="tx1"/>
            </w14:solidFill>
          </w14:textFill>
        </w:rPr>
        <w:t>全国电离辐射</w:t>
      </w:r>
      <w:r>
        <w:rPr>
          <w:rFonts w:hint="eastAsia" w:ascii="宋体" w:hAnsi="宋体" w:cs="宋体"/>
          <w:color w:val="000000" w:themeColor="text1"/>
          <w:sz w:val="28"/>
          <w:szCs w:val="28"/>
          <w14:textFill>
            <w14:solidFill>
              <w14:schemeClr w14:val="tx1"/>
            </w14:solidFill>
          </w14:textFill>
        </w:rPr>
        <w:t>计量技术委员会</w:t>
      </w:r>
    </w:p>
    <w:p w14:paraId="5FC2127D">
      <w:pPr>
        <w:keepNext w:val="0"/>
        <w:keepLines w:val="0"/>
        <w:pageBreakBefore w:val="0"/>
        <w:widowControl w:val="0"/>
        <w:kinsoku/>
        <w:wordWrap/>
        <w:overflowPunct/>
        <w:topLinePunct w:val="0"/>
        <w:autoSpaceDE/>
        <w:autoSpaceDN/>
        <w:bidi w:val="0"/>
        <w:adjustRightInd/>
        <w:snapToGrid/>
        <w:spacing w:line="360" w:lineRule="auto"/>
        <w:ind w:left="0" w:leftChars="0" w:firstLine="840" w:firstLineChars="300"/>
        <w:textAlignment w:val="auto"/>
        <w:rPr>
          <w:rFonts w:hint="eastAsia" w:ascii="宋体" w:hAnsi="宋体" w:cs="宋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主要起草单位：</w:t>
      </w:r>
      <w:r>
        <w:rPr>
          <w:rFonts w:hint="eastAsia" w:ascii="宋体" w:hAnsi="宋体" w:cs="宋体"/>
          <w:color w:val="000000" w:themeColor="text1"/>
          <w:sz w:val="28"/>
          <w:szCs w:val="28"/>
          <w14:textFill>
            <w14:solidFill>
              <w14:schemeClr w14:val="tx1"/>
            </w14:solidFill>
          </w14:textFill>
        </w:rPr>
        <w:t>河南省计量测试科学研究院</w:t>
      </w:r>
    </w:p>
    <w:p w14:paraId="23451379">
      <w:pPr>
        <w:keepNext w:val="0"/>
        <w:keepLines w:val="0"/>
        <w:pageBreakBefore w:val="0"/>
        <w:widowControl w:val="0"/>
        <w:kinsoku/>
        <w:wordWrap/>
        <w:overflowPunct/>
        <w:topLinePunct w:val="0"/>
        <w:autoSpaceDE/>
        <w:autoSpaceDN/>
        <w:bidi w:val="0"/>
        <w:adjustRightInd/>
        <w:snapToGrid/>
        <w:spacing w:line="360" w:lineRule="auto"/>
        <w:ind w:left="0" w:leftChars="0" w:firstLine="2800" w:firstLineChars="1000"/>
        <w:textAlignment w:val="auto"/>
        <w:rPr>
          <w:rFonts w:hint="eastAsia" w:ascii="宋体" w:hAnsi="宋体" w:cs="宋体"/>
          <w:color w:val="000000" w:themeColor="text1"/>
          <w:sz w:val="28"/>
          <w:szCs w:val="28"/>
          <w:lang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中国计量科学研究院</w:t>
      </w:r>
    </w:p>
    <w:p w14:paraId="2EDA1A7A">
      <w:pPr>
        <w:keepNext w:val="0"/>
        <w:keepLines w:val="0"/>
        <w:pageBreakBefore w:val="0"/>
        <w:widowControl w:val="0"/>
        <w:kinsoku/>
        <w:wordWrap/>
        <w:overflowPunct/>
        <w:topLinePunct w:val="0"/>
        <w:autoSpaceDE/>
        <w:autoSpaceDN/>
        <w:bidi w:val="0"/>
        <w:adjustRightInd/>
        <w:snapToGrid/>
        <w:spacing w:line="360" w:lineRule="auto"/>
        <w:ind w:left="0" w:leftChars="0" w:firstLine="2800" w:firstLineChars="1000"/>
        <w:textAlignment w:val="auto"/>
        <w:rPr>
          <w:rFonts w:hint="eastAsia" w:ascii="宋体" w:hAnsi="宋体" w:cs="宋体"/>
          <w:color w:val="000000" w:themeColor="text1"/>
          <w:sz w:val="28"/>
          <w:szCs w:val="28"/>
          <w:lang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郑州大学第一附属医院</w:t>
      </w:r>
    </w:p>
    <w:p w14:paraId="0E39002F">
      <w:pPr>
        <w:keepNext w:val="0"/>
        <w:keepLines w:val="0"/>
        <w:pageBreakBefore w:val="0"/>
        <w:widowControl w:val="0"/>
        <w:kinsoku/>
        <w:wordWrap/>
        <w:overflowPunct/>
        <w:topLinePunct w:val="0"/>
        <w:autoSpaceDE/>
        <w:autoSpaceDN/>
        <w:bidi w:val="0"/>
        <w:adjustRightInd/>
        <w:snapToGrid/>
        <w:spacing w:line="360" w:lineRule="auto"/>
        <w:ind w:left="0" w:leftChars="0" w:firstLine="840" w:firstLineChars="300"/>
        <w:textAlignment w:val="auto"/>
        <w:rPr>
          <w:rFonts w:hint="eastAsia" w:ascii="宋体" w:hAnsi="宋体" w:eastAsia="黑体" w:cs="宋体"/>
          <w:color w:val="000000" w:themeColor="text1"/>
          <w:sz w:val="28"/>
          <w:szCs w:val="28"/>
          <w:lang w:eastAsia="zh-CN"/>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参加起草单位：</w:t>
      </w:r>
      <w:r>
        <w:rPr>
          <w:rFonts w:hint="eastAsia" w:ascii="宋体" w:hAnsi="宋体" w:cs="宋体"/>
          <w:color w:val="000000" w:themeColor="text1"/>
          <w:sz w:val="28"/>
          <w:szCs w:val="28"/>
          <w:lang w:eastAsia="zh-CN"/>
          <w14:textFill>
            <w14:solidFill>
              <w14:schemeClr w14:val="tx1"/>
            </w14:solidFill>
          </w14:textFill>
        </w:rPr>
        <w:t>中国疾病预防控制中心辐射防护与核安全医学所</w:t>
      </w:r>
    </w:p>
    <w:p w14:paraId="289E84F0">
      <w:pPr>
        <w:tabs>
          <w:tab w:val="left" w:pos="3922"/>
        </w:tabs>
        <w:ind w:firstLine="560"/>
        <w:rPr>
          <w:rFonts w:ascii="黑体" w:hAnsi="黑体" w:eastAsia="黑体"/>
          <w:color w:val="000000" w:themeColor="text1"/>
          <w:sz w:val="28"/>
          <w:szCs w:val="28"/>
          <w14:textFill>
            <w14:solidFill>
              <w14:schemeClr w14:val="tx1"/>
            </w14:solidFill>
          </w14:textFill>
        </w:rPr>
      </w:pPr>
    </w:p>
    <w:p w14:paraId="5FAE4913">
      <w:pPr>
        <w:tabs>
          <w:tab w:val="left" w:pos="3922"/>
        </w:tabs>
        <w:ind w:firstLine="560"/>
        <w:rPr>
          <w:rFonts w:ascii="黑体" w:hAnsi="黑体" w:eastAsia="黑体"/>
          <w:color w:val="000000" w:themeColor="text1"/>
          <w:sz w:val="28"/>
          <w:szCs w:val="28"/>
          <w14:textFill>
            <w14:solidFill>
              <w14:schemeClr w14:val="tx1"/>
            </w14:solidFill>
          </w14:textFill>
        </w:rPr>
      </w:pPr>
    </w:p>
    <w:p w14:paraId="0F75FAC8">
      <w:pPr>
        <w:keepNext w:val="0"/>
        <w:keepLines w:val="0"/>
        <w:pageBreakBefore w:val="0"/>
        <w:widowControl w:val="0"/>
        <w:kinsoku/>
        <w:wordWrap/>
        <w:overflowPunct/>
        <w:topLinePunct w:val="0"/>
        <w:autoSpaceDE/>
        <w:autoSpaceDN/>
        <w:bidi w:val="0"/>
        <w:adjustRightInd/>
        <w:snapToGrid/>
        <w:spacing w:line="200" w:lineRule="exact"/>
        <w:ind w:firstLine="560"/>
        <w:textAlignment w:val="auto"/>
        <w:rPr>
          <w:rFonts w:ascii="黑体" w:hAnsi="黑体" w:eastAsia="黑体"/>
          <w:color w:val="000000" w:themeColor="text1"/>
          <w:sz w:val="28"/>
          <w:szCs w:val="28"/>
          <w14:textFill>
            <w14:solidFill>
              <w14:schemeClr w14:val="tx1"/>
            </w14:solidFill>
          </w14:textFill>
        </w:rPr>
      </w:pPr>
    </w:p>
    <w:p w14:paraId="5EA275B9">
      <w:pPr>
        <w:keepNext w:val="0"/>
        <w:keepLines w:val="0"/>
        <w:pageBreakBefore w:val="0"/>
        <w:widowControl w:val="0"/>
        <w:kinsoku/>
        <w:wordWrap/>
        <w:overflowPunct/>
        <w:topLinePunct w:val="0"/>
        <w:autoSpaceDE/>
        <w:autoSpaceDN/>
        <w:bidi w:val="0"/>
        <w:adjustRightInd/>
        <w:snapToGrid/>
        <w:spacing w:line="200" w:lineRule="exact"/>
        <w:ind w:firstLine="560"/>
        <w:textAlignment w:val="auto"/>
        <w:rPr>
          <w:rFonts w:ascii="黑体" w:hAnsi="黑体" w:eastAsia="黑体"/>
          <w:color w:val="000000" w:themeColor="text1"/>
          <w:sz w:val="28"/>
          <w:szCs w:val="28"/>
          <w14:textFill>
            <w14:solidFill>
              <w14:schemeClr w14:val="tx1"/>
            </w14:solidFill>
          </w14:textFill>
        </w:rPr>
      </w:pPr>
    </w:p>
    <w:p w14:paraId="142DDC43">
      <w:pPr>
        <w:keepNext w:val="0"/>
        <w:keepLines w:val="0"/>
        <w:pageBreakBefore w:val="0"/>
        <w:widowControl w:val="0"/>
        <w:kinsoku/>
        <w:wordWrap/>
        <w:overflowPunct/>
        <w:topLinePunct w:val="0"/>
        <w:autoSpaceDE/>
        <w:autoSpaceDN/>
        <w:bidi w:val="0"/>
        <w:adjustRightInd/>
        <w:snapToGrid/>
        <w:spacing w:line="200" w:lineRule="exact"/>
        <w:ind w:firstLine="560"/>
        <w:textAlignment w:val="auto"/>
        <w:rPr>
          <w:rFonts w:ascii="黑体" w:hAnsi="黑体" w:eastAsia="黑体"/>
          <w:color w:val="000000" w:themeColor="text1"/>
          <w:sz w:val="28"/>
          <w:szCs w:val="28"/>
          <w14:textFill>
            <w14:solidFill>
              <w14:schemeClr w14:val="tx1"/>
            </w14:solidFill>
          </w14:textFill>
        </w:rPr>
      </w:pPr>
    </w:p>
    <w:p w14:paraId="79049606">
      <w:pPr>
        <w:keepNext w:val="0"/>
        <w:keepLines w:val="0"/>
        <w:pageBreakBefore w:val="0"/>
        <w:widowControl w:val="0"/>
        <w:kinsoku/>
        <w:wordWrap/>
        <w:overflowPunct/>
        <w:topLinePunct w:val="0"/>
        <w:autoSpaceDE/>
        <w:autoSpaceDN/>
        <w:bidi w:val="0"/>
        <w:adjustRightInd/>
        <w:snapToGrid/>
        <w:spacing w:line="200" w:lineRule="exact"/>
        <w:ind w:firstLine="560"/>
        <w:textAlignment w:val="auto"/>
        <w:rPr>
          <w:rFonts w:ascii="黑体" w:hAnsi="黑体" w:eastAsia="黑体"/>
          <w:color w:val="000000" w:themeColor="text1"/>
          <w:sz w:val="28"/>
          <w:szCs w:val="28"/>
          <w14:textFill>
            <w14:solidFill>
              <w14:schemeClr w14:val="tx1"/>
            </w14:solidFill>
          </w14:textFill>
        </w:rPr>
      </w:pPr>
    </w:p>
    <w:p w14:paraId="572DAA44">
      <w:pPr>
        <w:keepNext w:val="0"/>
        <w:keepLines w:val="0"/>
        <w:pageBreakBefore w:val="0"/>
        <w:widowControl w:val="0"/>
        <w:kinsoku/>
        <w:wordWrap/>
        <w:overflowPunct/>
        <w:topLinePunct w:val="0"/>
        <w:autoSpaceDE/>
        <w:autoSpaceDN/>
        <w:bidi w:val="0"/>
        <w:adjustRightInd/>
        <w:snapToGrid/>
        <w:spacing w:line="200" w:lineRule="exact"/>
        <w:ind w:firstLine="560"/>
        <w:textAlignment w:val="auto"/>
        <w:rPr>
          <w:rFonts w:ascii="黑体" w:hAnsi="黑体" w:eastAsia="黑体"/>
          <w:color w:val="000000" w:themeColor="text1"/>
          <w:sz w:val="28"/>
          <w:szCs w:val="28"/>
          <w14:textFill>
            <w14:solidFill>
              <w14:schemeClr w14:val="tx1"/>
            </w14:solidFill>
          </w14:textFill>
        </w:rPr>
      </w:pPr>
    </w:p>
    <w:p w14:paraId="6F1533B5">
      <w:pPr>
        <w:keepNext w:val="0"/>
        <w:keepLines w:val="0"/>
        <w:pageBreakBefore w:val="0"/>
        <w:widowControl w:val="0"/>
        <w:kinsoku/>
        <w:wordWrap/>
        <w:overflowPunct/>
        <w:topLinePunct w:val="0"/>
        <w:autoSpaceDE/>
        <w:autoSpaceDN/>
        <w:bidi w:val="0"/>
        <w:adjustRightInd/>
        <w:snapToGrid/>
        <w:spacing w:line="120" w:lineRule="exact"/>
        <w:ind w:firstLine="560"/>
        <w:textAlignment w:val="auto"/>
        <w:rPr>
          <w:rFonts w:ascii="黑体" w:hAnsi="黑体" w:eastAsia="黑体"/>
          <w:color w:val="000000" w:themeColor="text1"/>
          <w:sz w:val="28"/>
          <w:szCs w:val="28"/>
          <w14:textFill>
            <w14:solidFill>
              <w14:schemeClr w14:val="tx1"/>
            </w14:solidFill>
          </w14:textFill>
        </w:rPr>
      </w:pPr>
    </w:p>
    <w:p w14:paraId="55CE8EAC">
      <w:pPr>
        <w:keepNext w:val="0"/>
        <w:keepLines w:val="0"/>
        <w:pageBreakBefore w:val="0"/>
        <w:widowControl w:val="0"/>
        <w:kinsoku/>
        <w:wordWrap/>
        <w:overflowPunct/>
        <w:topLinePunct w:val="0"/>
        <w:autoSpaceDE/>
        <w:autoSpaceDN/>
        <w:bidi w:val="0"/>
        <w:adjustRightInd/>
        <w:snapToGrid/>
        <w:spacing w:line="200" w:lineRule="exact"/>
        <w:ind w:firstLine="560"/>
        <w:textAlignment w:val="auto"/>
        <w:rPr>
          <w:rFonts w:ascii="黑体" w:hAnsi="黑体" w:eastAsia="黑体"/>
          <w:color w:val="000000" w:themeColor="text1"/>
          <w:sz w:val="28"/>
          <w:szCs w:val="28"/>
          <w14:textFill>
            <w14:solidFill>
              <w14:schemeClr w14:val="tx1"/>
            </w14:solidFill>
          </w14:textFill>
        </w:rPr>
      </w:pPr>
    </w:p>
    <w:p w14:paraId="39ECD833">
      <w:pPr>
        <w:tabs>
          <w:tab w:val="left" w:pos="3672"/>
        </w:tabs>
        <w:ind w:firstLine="560"/>
        <w:rPr>
          <w:rFonts w:ascii="黑体" w:hAnsi="黑体" w:eastAsia="黑体"/>
          <w:color w:val="000000" w:themeColor="text1"/>
          <w:sz w:val="28"/>
          <w:szCs w:val="28"/>
          <w14:textFill>
            <w14:solidFill>
              <w14:schemeClr w14:val="tx1"/>
            </w14:solidFill>
          </w14:textFill>
        </w:rPr>
      </w:pPr>
    </w:p>
    <w:p w14:paraId="18199A28">
      <w:pPr>
        <w:ind w:firstLine="560"/>
        <w:rPr>
          <w:rFonts w:ascii="黑体" w:hAnsi="黑体" w:eastAsia="黑体"/>
          <w:color w:val="000000" w:themeColor="text1"/>
          <w:sz w:val="28"/>
          <w:szCs w:val="28"/>
          <w14:textFill>
            <w14:solidFill>
              <w14:schemeClr w14:val="tx1"/>
            </w14:solidFill>
          </w14:textFill>
        </w:rPr>
      </w:pPr>
    </w:p>
    <w:p w14:paraId="061AC9CD">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jc w:val="both"/>
        <w:textAlignment w:val="auto"/>
        <w:rPr>
          <w:rFonts w:ascii="Times New Roman" w:hAnsi="Times New Roman"/>
          <w:sz w:val="28"/>
          <w:szCs w:val="28"/>
        </w:rPr>
      </w:pPr>
      <w:r>
        <w:rPr>
          <w:rFonts w:ascii="Times New Roman" w:hAnsi="Times New Roman"/>
          <w:sz w:val="28"/>
          <w:szCs w:val="28"/>
        </w:rPr>
        <w:t>本规范委托</w:t>
      </w:r>
      <w:r>
        <w:rPr>
          <w:rFonts w:hint="eastAsia" w:ascii="Times New Roman" w:hAnsi="Times New Roman"/>
          <w:sz w:val="28"/>
          <w:szCs w:val="28"/>
          <w:lang w:eastAsia="zh-CN"/>
        </w:rPr>
        <w:t>全国</w:t>
      </w:r>
      <w:r>
        <w:rPr>
          <w:rFonts w:ascii="Times New Roman" w:hAnsi="Times New Roman"/>
          <w:sz w:val="28"/>
          <w:szCs w:val="28"/>
        </w:rPr>
        <w:t>电离辐射计量技术委员会负责解释</w:t>
      </w:r>
    </w:p>
    <w:p w14:paraId="0576706B">
      <w:pPr>
        <w:rPr>
          <w:rFonts w:ascii="宋体" w:hAnsi="宋体"/>
          <w:color w:val="000000" w:themeColor="text1"/>
          <w:sz w:val="28"/>
          <w:szCs w:val="28"/>
          <w14:textFill>
            <w14:solidFill>
              <w14:schemeClr w14:val="tx1"/>
            </w14:solidFill>
          </w14:textFill>
        </w:rPr>
        <w:sectPr>
          <w:headerReference r:id="rId11" w:type="default"/>
          <w:footerReference r:id="rId13" w:type="default"/>
          <w:headerReference r:id="rId12" w:type="even"/>
          <w:footerReference r:id="rId14" w:type="even"/>
          <w:pgSz w:w="11906" w:h="16838"/>
          <w:pgMar w:top="1587" w:right="1587" w:bottom="1417" w:left="1587" w:header="1134" w:footer="907" w:gutter="0"/>
          <w:pgBorders>
            <w:top w:val="none" w:sz="0" w:space="0"/>
            <w:left w:val="none" w:sz="0" w:space="0"/>
            <w:bottom w:val="none" w:sz="0" w:space="0"/>
            <w:right w:val="none" w:sz="0" w:space="0"/>
          </w:pgBorders>
          <w:pgNumType w:start="1"/>
          <w:cols w:space="0" w:num="1"/>
          <w:rtlGutter w:val="0"/>
          <w:docGrid w:type="lines" w:linePitch="294" w:charSpace="0"/>
        </w:sectPr>
      </w:pPr>
    </w:p>
    <w:p w14:paraId="536CE255">
      <w:pPr>
        <w:ind w:firstLine="560"/>
        <w:rPr>
          <w:rFonts w:ascii="黑体" w:hAnsi="黑体" w:eastAsia="黑体"/>
          <w:color w:val="000000" w:themeColor="text1"/>
          <w:sz w:val="28"/>
          <w:szCs w:val="28"/>
          <w14:textFill>
            <w14:solidFill>
              <w14:schemeClr w14:val="tx1"/>
            </w14:solidFill>
          </w14:textFill>
        </w:rPr>
      </w:pPr>
    </w:p>
    <w:p w14:paraId="28B3F925">
      <w:pPr>
        <w:ind w:firstLine="560"/>
        <w:rPr>
          <w:rFonts w:ascii="黑体" w:hAnsi="黑体" w:eastAsia="黑体"/>
          <w:color w:val="000000" w:themeColor="text1"/>
          <w:sz w:val="28"/>
          <w:szCs w:val="28"/>
          <w14:textFill>
            <w14:solidFill>
              <w14:schemeClr w14:val="tx1"/>
            </w14:solidFill>
          </w14:textFill>
        </w:rPr>
      </w:pPr>
    </w:p>
    <w:p w14:paraId="643E46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本规范主要起草人：</w:t>
      </w:r>
    </w:p>
    <w:p w14:paraId="3F572B4C">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王攀峰</w:t>
      </w:r>
      <w:r>
        <w:rPr>
          <w:rFonts w:hint="eastAsia" w:ascii="宋体" w:hAnsi="宋体" w:cs="宋体"/>
          <w:color w:val="000000" w:themeColor="text1"/>
          <w:sz w:val="28"/>
          <w:szCs w:val="28"/>
          <w14:textFill>
            <w14:solidFill>
              <w14:schemeClr w14:val="tx1"/>
            </w14:solidFill>
          </w14:textFill>
        </w:rPr>
        <w:t>（河南省计量测试科学研究院）</w:t>
      </w:r>
    </w:p>
    <w:p w14:paraId="1E359C45">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lang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杨志杰（中国计量科学研究院）</w:t>
      </w:r>
    </w:p>
    <w:p w14:paraId="205A215B">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lang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龙成章（河南省计量测试科学研究院）</w:t>
      </w:r>
    </w:p>
    <w:p w14:paraId="37654CA2">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lang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王海洋（郑州大学第一附属医院）</w:t>
      </w:r>
    </w:p>
    <w:p w14:paraId="61388944">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lang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王双玲（河南省计量测试科学研究院）</w:t>
      </w:r>
    </w:p>
    <w:p w14:paraId="0A188063">
      <w:pPr>
        <w:spacing w:line="360" w:lineRule="auto"/>
        <w:ind w:firstLine="1400" w:firstLineChars="500"/>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参加起草人：</w:t>
      </w:r>
    </w:p>
    <w:p w14:paraId="4BBB877B">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lang w:val="en-US" w:eastAsia="zh-CN"/>
          <w14:textFill>
            <w14:solidFill>
              <w14:schemeClr w14:val="tx1"/>
            </w14:solidFill>
          </w14:textFill>
        </w:rPr>
        <w:t>拓  飞</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 w:val="28"/>
          <w:szCs w:val="28"/>
          <w:lang w:eastAsia="zh-CN"/>
          <w14:textFill>
            <w14:solidFill>
              <w14:schemeClr w14:val="tx1"/>
            </w14:solidFill>
          </w14:textFill>
        </w:rPr>
        <w:t>中国疾病预防控制中心辐射防护与核安全医学所</w:t>
      </w:r>
      <w:r>
        <w:rPr>
          <w:rFonts w:hint="eastAsia" w:ascii="宋体" w:hAnsi="宋体" w:cs="宋体"/>
          <w:color w:val="000000" w:themeColor="text1"/>
          <w:sz w:val="28"/>
          <w:szCs w:val="28"/>
          <w14:textFill>
            <w14:solidFill>
              <w14:schemeClr w14:val="tx1"/>
            </w14:solidFill>
          </w14:textFill>
        </w:rPr>
        <w:t>）</w:t>
      </w:r>
    </w:p>
    <w:p w14:paraId="7DB9021F">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梁珺成</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 w:val="28"/>
          <w:szCs w:val="28"/>
          <w:lang w:eastAsia="zh-CN"/>
          <w14:textFill>
            <w14:solidFill>
              <w14:schemeClr w14:val="tx1"/>
            </w14:solidFill>
          </w14:textFill>
        </w:rPr>
        <w:t>中国</w:t>
      </w:r>
      <w:r>
        <w:rPr>
          <w:rFonts w:hint="eastAsia" w:ascii="宋体" w:hAnsi="宋体" w:cs="宋体"/>
          <w:color w:val="000000" w:themeColor="text1"/>
          <w:sz w:val="28"/>
          <w:szCs w:val="28"/>
          <w14:textFill>
            <w14:solidFill>
              <w14:schemeClr w14:val="tx1"/>
            </w14:solidFill>
          </w14:textFill>
        </w:rPr>
        <w:t>计量科学研究院）</w:t>
      </w:r>
    </w:p>
    <w:p w14:paraId="149D72A3">
      <w:pPr>
        <w:ind w:firstLine="1960" w:firstLineChars="700"/>
        <w:rPr>
          <w:rFonts w:ascii="宋体" w:hAnsi="宋体" w:cs="宋体"/>
          <w:color w:val="000000" w:themeColor="text1"/>
          <w:sz w:val="28"/>
          <w:szCs w:val="28"/>
          <w14:textFill>
            <w14:solidFill>
              <w14:schemeClr w14:val="tx1"/>
            </w14:solidFill>
          </w14:textFill>
        </w:rPr>
      </w:pPr>
    </w:p>
    <w:p w14:paraId="56271D1A">
      <w:pPr>
        <w:ind w:firstLine="560"/>
        <w:rPr>
          <w:rFonts w:ascii="黑体" w:hAnsi="黑体" w:eastAsia="黑体"/>
          <w:color w:val="000000" w:themeColor="text1"/>
          <w:sz w:val="28"/>
          <w:szCs w:val="28"/>
          <w14:textFill>
            <w14:solidFill>
              <w14:schemeClr w14:val="tx1"/>
            </w14:solidFill>
          </w14:textFill>
        </w:rPr>
      </w:pPr>
    </w:p>
    <w:p w14:paraId="0A2E8C01">
      <w:pPr>
        <w:ind w:firstLine="560"/>
        <w:rPr>
          <w:rFonts w:ascii="黑体" w:hAnsi="黑体" w:eastAsia="黑体"/>
          <w:color w:val="000000" w:themeColor="text1"/>
          <w:sz w:val="28"/>
          <w:szCs w:val="28"/>
          <w14:textFill>
            <w14:solidFill>
              <w14:schemeClr w14:val="tx1"/>
            </w14:solidFill>
          </w14:textFill>
        </w:rPr>
      </w:pPr>
    </w:p>
    <w:p w14:paraId="2B8BA093">
      <w:pPr>
        <w:ind w:firstLine="560"/>
        <w:rPr>
          <w:rFonts w:ascii="黑体" w:hAnsi="黑体" w:eastAsia="黑体"/>
          <w:color w:val="000000" w:themeColor="text1"/>
          <w:sz w:val="28"/>
          <w:szCs w:val="28"/>
          <w14:textFill>
            <w14:solidFill>
              <w14:schemeClr w14:val="tx1"/>
            </w14:solidFill>
          </w14:textFill>
        </w:rPr>
      </w:pPr>
    </w:p>
    <w:p w14:paraId="70FE66E0">
      <w:pPr>
        <w:ind w:firstLine="560"/>
        <w:rPr>
          <w:rFonts w:ascii="黑体" w:hAnsi="黑体" w:eastAsia="黑体"/>
          <w:color w:val="000000" w:themeColor="text1"/>
          <w:sz w:val="28"/>
          <w:szCs w:val="28"/>
          <w14:textFill>
            <w14:solidFill>
              <w14:schemeClr w14:val="tx1"/>
            </w14:solidFill>
          </w14:textFill>
        </w:rPr>
      </w:pPr>
    </w:p>
    <w:p w14:paraId="0251CEB3">
      <w:pPr>
        <w:ind w:firstLine="560"/>
        <w:rPr>
          <w:rFonts w:ascii="黑体" w:hAnsi="黑体" w:eastAsia="黑体"/>
          <w:color w:val="000000" w:themeColor="text1"/>
          <w:sz w:val="28"/>
          <w:szCs w:val="28"/>
          <w14:textFill>
            <w14:solidFill>
              <w14:schemeClr w14:val="tx1"/>
            </w14:solidFill>
          </w14:textFill>
        </w:rPr>
      </w:pPr>
    </w:p>
    <w:p w14:paraId="0FE04089">
      <w:pPr>
        <w:ind w:firstLine="560"/>
        <w:rPr>
          <w:rFonts w:ascii="黑体" w:hAnsi="黑体" w:eastAsia="黑体"/>
          <w:color w:val="000000" w:themeColor="text1"/>
          <w:sz w:val="28"/>
          <w:szCs w:val="28"/>
          <w14:textFill>
            <w14:solidFill>
              <w14:schemeClr w14:val="tx1"/>
            </w14:solidFill>
          </w14:textFill>
        </w:rPr>
      </w:pPr>
    </w:p>
    <w:p w14:paraId="015438E0">
      <w:pPr>
        <w:ind w:firstLine="560"/>
        <w:rPr>
          <w:rFonts w:ascii="黑体" w:hAnsi="黑体" w:eastAsia="黑体"/>
          <w:color w:val="000000" w:themeColor="text1"/>
          <w:sz w:val="28"/>
          <w:szCs w:val="28"/>
          <w14:textFill>
            <w14:solidFill>
              <w14:schemeClr w14:val="tx1"/>
            </w14:solidFill>
          </w14:textFill>
        </w:rPr>
      </w:pPr>
    </w:p>
    <w:p w14:paraId="00C12EE4">
      <w:pPr>
        <w:ind w:firstLine="560"/>
        <w:rPr>
          <w:rFonts w:ascii="黑体" w:hAnsi="黑体" w:eastAsia="黑体"/>
          <w:color w:val="000000" w:themeColor="text1"/>
          <w:sz w:val="28"/>
          <w:szCs w:val="28"/>
          <w14:textFill>
            <w14:solidFill>
              <w14:schemeClr w14:val="tx1"/>
            </w14:solidFill>
          </w14:textFill>
        </w:rPr>
        <w:sectPr>
          <w:footerReference r:id="rId15" w:type="default"/>
          <w:footerReference r:id="rId16" w:type="even"/>
          <w:pgSz w:w="11906" w:h="16838"/>
          <w:pgMar w:top="1587" w:right="1587" w:bottom="1417" w:left="1587" w:header="1134" w:footer="907" w:gutter="0"/>
          <w:pgBorders>
            <w:top w:val="none" w:sz="0" w:space="0"/>
            <w:left w:val="none" w:sz="0" w:space="0"/>
            <w:bottom w:val="none" w:sz="0" w:space="0"/>
            <w:right w:val="none" w:sz="0" w:space="0"/>
          </w:pgBorders>
          <w:pgNumType w:fmt="upperRoman" w:start="2"/>
          <w:cols w:space="0" w:num="1"/>
          <w:rtlGutter w:val="0"/>
          <w:docGrid w:type="lines" w:linePitch="294" w:charSpace="0"/>
        </w:sectPr>
      </w:pPr>
    </w:p>
    <w:p w14:paraId="1F39460F">
      <w:pPr>
        <w:spacing w:line="240" w:lineRule="exact"/>
        <w:ind w:firstLine="880"/>
        <w:jc w:val="center"/>
        <w:rPr>
          <w:rFonts w:ascii="黑体" w:hAnsi="黑体" w:eastAsia="黑体" w:cs="黑体"/>
          <w:color w:val="000000" w:themeColor="text1"/>
          <w:sz w:val="44"/>
          <w:szCs w:val="44"/>
          <w14:textFill>
            <w14:solidFill>
              <w14:schemeClr w14:val="tx1"/>
            </w14:solidFill>
          </w14:textFill>
        </w:rPr>
      </w:pPr>
    </w:p>
    <w:p w14:paraId="212810A9">
      <w:pPr>
        <w:keepNext w:val="0"/>
        <w:keepLines w:val="0"/>
        <w:pageBreakBefore w:val="0"/>
        <w:widowControl w:val="0"/>
        <w:kinsoku/>
        <w:wordWrap/>
        <w:overflowPunct/>
        <w:topLinePunct w:val="0"/>
        <w:autoSpaceDE/>
        <w:autoSpaceDN/>
        <w:bidi w:val="0"/>
        <w:adjustRightInd/>
        <w:snapToGrid/>
        <w:spacing w:before="295" w:beforeLines="100"/>
        <w:ind w:firstLine="0" w:firstLineChars="0"/>
        <w:jc w:val="center"/>
        <w:textAlignment w:val="auto"/>
        <w:rPr>
          <w:color w:val="000000" w:themeColor="text1"/>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目  录</w:t>
      </w:r>
    </w:p>
    <w:p w14:paraId="12E51DB2">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TOC \o "1-3" \h \u </w:instrText>
      </w:r>
      <w:r>
        <w:rPr>
          <w:rFonts w:hint="default" w:ascii="Times New Roman" w:hAnsi="Times New Roman" w:eastAsia="宋体" w:cs="Times New Roman"/>
        </w:rPr>
        <w:fldChar w:fldCharType="separate"/>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_Toc14457 </w:instrText>
      </w:r>
      <w:r>
        <w:rPr>
          <w:rFonts w:hint="default" w:ascii="Times New Roman" w:hAnsi="Times New Roman" w:eastAsia="宋体" w:cs="Times New Roman"/>
        </w:rPr>
        <w:fldChar w:fldCharType="separate"/>
      </w:r>
      <w:r>
        <w:rPr>
          <w:rFonts w:hint="default" w:ascii="Times New Roman" w:hAnsi="Times New Roman" w:eastAsia="宋体" w:cs="Times New Roman"/>
          <w:szCs w:val="44"/>
        </w:rPr>
        <w:t>引  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_Toc14457 \h </w:instrText>
      </w:r>
      <w:r>
        <w:rPr>
          <w:rFonts w:hint="default" w:ascii="Times New Roman" w:hAnsi="Times New Roman" w:eastAsia="宋体" w:cs="Times New Roman"/>
        </w:rPr>
        <w:fldChar w:fldCharType="separate"/>
      </w:r>
      <w:r>
        <w:rPr>
          <w:rFonts w:hint="default" w:ascii="Times New Roman" w:hAnsi="Times New Roman" w:eastAsia="宋体" w:cs="Times New Roman"/>
        </w:rPr>
        <w:t>II</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EBD7CA0">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_Toc31766 </w:instrText>
      </w:r>
      <w:r>
        <w:rPr>
          <w:rFonts w:hint="default" w:ascii="Times New Roman" w:hAnsi="Times New Roman" w:eastAsia="宋体" w:cs="Times New Roman"/>
        </w:rPr>
        <w:fldChar w:fldCharType="separate"/>
      </w:r>
      <w:r>
        <w:rPr>
          <w:rFonts w:hint="default" w:ascii="Times New Roman" w:hAnsi="Times New Roman" w:eastAsia="宋体" w:cs="Times New Roman"/>
        </w:rPr>
        <w:t>1  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_Toc31766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FD2A3BD">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_Toc15520 </w:instrText>
      </w:r>
      <w:r>
        <w:rPr>
          <w:rFonts w:hint="default" w:ascii="Times New Roman" w:hAnsi="Times New Roman" w:eastAsia="宋体" w:cs="Times New Roman"/>
        </w:rPr>
        <w:fldChar w:fldCharType="separate"/>
      </w:r>
      <w:r>
        <w:rPr>
          <w:rFonts w:hint="default" w:ascii="Times New Roman" w:hAnsi="Times New Roman" w:eastAsia="宋体" w:cs="Times New Roman"/>
        </w:rPr>
        <w:t>2  引用文件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_Toc15520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81025EA">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_Toc14736 </w:instrText>
      </w:r>
      <w:r>
        <w:rPr>
          <w:rFonts w:hint="default" w:ascii="Times New Roman" w:hAnsi="Times New Roman" w:eastAsia="宋体" w:cs="Times New Roman"/>
        </w:rPr>
        <w:fldChar w:fldCharType="separate"/>
      </w:r>
      <w:r>
        <w:rPr>
          <w:rFonts w:hint="default" w:ascii="Times New Roman" w:hAnsi="Times New Roman" w:eastAsia="宋体" w:cs="Times New Roman"/>
        </w:rPr>
        <w:t>3  术语和</w:t>
      </w:r>
      <w:r>
        <w:rPr>
          <w:rFonts w:hint="default" w:ascii="Times New Roman" w:hAnsi="Times New Roman" w:eastAsia="宋体" w:cs="Times New Roman"/>
          <w:lang w:eastAsia="zh-CN"/>
        </w:rPr>
        <w:t>计量单位</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_Toc14736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C7C648C">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_Toc9478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3.1  </w:t>
      </w:r>
      <w:r>
        <w:rPr>
          <w:rFonts w:hint="default" w:ascii="Times New Roman" w:hAnsi="Times New Roman" w:eastAsia="宋体" w:cs="Times New Roman"/>
          <w:lang w:eastAsia="zh-CN"/>
        </w:rPr>
        <w:t>术语</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_Toc9478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76B056B">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_Toc8712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3.2  </w:t>
      </w:r>
      <w:r>
        <w:rPr>
          <w:rFonts w:hint="default" w:ascii="Times New Roman" w:hAnsi="Times New Roman" w:eastAsia="宋体" w:cs="Times New Roman"/>
          <w:lang w:eastAsia="zh-CN"/>
        </w:rPr>
        <w:t>计量单位</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_Toc8712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52235E8">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_Toc31298 </w:instrText>
      </w:r>
      <w:r>
        <w:rPr>
          <w:rFonts w:hint="default" w:ascii="Times New Roman" w:hAnsi="Times New Roman" w:eastAsia="宋体" w:cs="Times New Roman"/>
        </w:rPr>
        <w:fldChar w:fldCharType="separate"/>
      </w:r>
      <w:r>
        <w:rPr>
          <w:rFonts w:hint="default" w:ascii="Times New Roman" w:hAnsi="Times New Roman" w:eastAsia="宋体" w:cs="Times New Roman"/>
        </w:rPr>
        <w:t>4  概述</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_Toc31298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0DE6B12">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_Toc7038 </w:instrText>
      </w:r>
      <w:r>
        <w:rPr>
          <w:rFonts w:hint="default" w:ascii="Times New Roman" w:hAnsi="Times New Roman" w:eastAsia="宋体" w:cs="Times New Roman"/>
        </w:rPr>
        <w:fldChar w:fldCharType="separate"/>
      </w:r>
      <w:r>
        <w:rPr>
          <w:rFonts w:hint="default" w:ascii="Times New Roman" w:hAnsi="Times New Roman" w:eastAsia="宋体" w:cs="Times New Roman"/>
        </w:rPr>
        <w:t>5  计量特性</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_Toc7038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8B481D6">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_Toc13055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lang w:eastAsia="zh-CN"/>
        </w:rPr>
        <w:t>1</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本底计数率</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_Toc13055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01C8D82">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_Toc20495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lang w:val="en-US" w:eastAsia="zh-CN"/>
        </w:rPr>
        <w:t>2</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本底稳定性</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_Toc20495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DD30805">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_Toc3727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能量分辨力</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_Toc3727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D1F2992">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_Toc4272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lang w:val="en-US" w:eastAsia="zh-CN"/>
        </w:rPr>
        <w:t>4</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活度响应</w:t>
      </w:r>
      <w:r>
        <w:rPr>
          <w:rFonts w:hint="default" w:ascii="Times New Roman" w:hAnsi="Times New Roman" w:eastAsia="宋体" w:cs="Times New Roman"/>
          <w:lang w:val="en-US" w:eastAsia="zh-CN"/>
        </w:rPr>
        <w:t>/</w:t>
      </w:r>
      <w:r>
        <w:rPr>
          <w:rFonts w:hint="default" w:ascii="Times New Roman" w:hAnsi="Times New Roman" w:eastAsia="宋体" w:cs="Times New Roman"/>
          <w:lang w:eastAsia="zh-CN"/>
        </w:rPr>
        <w:t>示值误差</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_Toc4272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BE295E6">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_Toc5471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lang w:val="en-US" w:eastAsia="zh-CN"/>
        </w:rPr>
        <w:t>5</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重复性</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_Toc5471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F35C966">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_Toc23123 </w:instrText>
      </w:r>
      <w:r>
        <w:rPr>
          <w:rFonts w:hint="default" w:ascii="Times New Roman" w:hAnsi="Times New Roman" w:eastAsia="宋体" w:cs="Times New Roman"/>
        </w:rPr>
        <w:fldChar w:fldCharType="separate"/>
      </w:r>
      <w:r>
        <w:rPr>
          <w:rFonts w:hint="default" w:ascii="Times New Roman" w:hAnsi="Times New Roman" w:eastAsia="宋体" w:cs="Times New Roman"/>
        </w:rPr>
        <w:t>6  校准条件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_Toc23123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4701401">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_Toc30176 </w:instrText>
      </w:r>
      <w:r>
        <w:rPr>
          <w:rFonts w:hint="default" w:ascii="Times New Roman" w:hAnsi="Times New Roman" w:eastAsia="宋体" w:cs="Times New Roman"/>
        </w:rPr>
        <w:fldChar w:fldCharType="separate"/>
      </w:r>
      <w:r>
        <w:rPr>
          <w:rFonts w:hint="default" w:ascii="Times New Roman" w:hAnsi="Times New Roman" w:eastAsia="宋体" w:cs="Times New Roman"/>
        </w:rPr>
        <w:t>6.1  环境条件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_Toc30176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3FBCA6FD">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_Toc31149 </w:instrText>
      </w:r>
      <w:r>
        <w:rPr>
          <w:rFonts w:hint="default" w:ascii="Times New Roman" w:hAnsi="Times New Roman" w:eastAsia="宋体" w:cs="Times New Roman"/>
        </w:rPr>
        <w:fldChar w:fldCharType="separate"/>
      </w:r>
      <w:r>
        <w:rPr>
          <w:rFonts w:hint="default" w:ascii="Times New Roman" w:hAnsi="Times New Roman" w:eastAsia="宋体" w:cs="Times New Roman"/>
        </w:rPr>
        <w:t>6.2  测量标准及其他设备</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_Toc31149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92E805E">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_Toc27101 </w:instrText>
      </w:r>
      <w:r>
        <w:rPr>
          <w:rFonts w:hint="default" w:ascii="Times New Roman" w:hAnsi="Times New Roman" w:eastAsia="宋体" w:cs="Times New Roman"/>
        </w:rPr>
        <w:fldChar w:fldCharType="separate"/>
      </w:r>
      <w:r>
        <w:rPr>
          <w:rFonts w:hint="default" w:ascii="Times New Roman" w:hAnsi="Times New Roman" w:eastAsia="宋体" w:cs="Times New Roman"/>
        </w:rPr>
        <w:t>7  校准项目和校准方法</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_Toc27101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0476182">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_Toc27064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1</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校准项目</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_Toc27064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7E83485">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_Toc28503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2</w:t>
      </w:r>
      <w:r>
        <w:rPr>
          <w:rFonts w:hint="default" w:ascii="Times New Roman" w:hAnsi="Times New Roman" w:eastAsia="宋体" w:cs="Times New Roman"/>
        </w:rPr>
        <w:t xml:space="preserve">  外观</w:t>
      </w:r>
      <w:r>
        <w:rPr>
          <w:rFonts w:hint="default" w:ascii="Times New Roman" w:hAnsi="Times New Roman" w:eastAsia="宋体" w:cs="Times New Roman"/>
          <w:lang w:val="en-US" w:eastAsia="zh-CN"/>
        </w:rPr>
        <w:t>及功能性</w:t>
      </w:r>
      <w:r>
        <w:rPr>
          <w:rFonts w:hint="default" w:ascii="Times New Roman" w:hAnsi="Times New Roman" w:eastAsia="宋体" w:cs="Times New Roman"/>
        </w:rPr>
        <w:t>检查</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_Toc28503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348C3650">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_Toc11163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本底计数率</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_Toc11163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F5AF072">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_Toc14680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4</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本底稳定性</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_Toc14680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923CD9C">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_Toc2737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5</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能量分辨力</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_Toc2737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7628A52">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_Toc8295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 xml:space="preserve">6 </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活度响应</w:t>
      </w:r>
      <w:r>
        <w:rPr>
          <w:rFonts w:hint="default" w:ascii="Times New Roman" w:hAnsi="Times New Roman" w:eastAsia="宋体" w:cs="Times New Roman"/>
          <w:lang w:val="en-US" w:eastAsia="zh-CN"/>
        </w:rPr>
        <w:t>/</w:t>
      </w:r>
      <w:r>
        <w:rPr>
          <w:rFonts w:hint="default" w:ascii="Times New Roman" w:hAnsi="Times New Roman" w:eastAsia="宋体" w:cs="Times New Roman"/>
        </w:rPr>
        <w:t>示值误差</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_Toc8295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16C20DC6">
      <w:pPr>
        <w:pStyle w:val="16"/>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_Toc5555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lang w:val="en-US" w:eastAsia="zh-CN"/>
        </w:rPr>
        <w:t>7</w:t>
      </w:r>
      <w:r>
        <w:rPr>
          <w:rFonts w:hint="default" w:ascii="Times New Roman" w:hAnsi="Times New Roman" w:eastAsia="宋体" w:cs="Times New Roman"/>
        </w:rPr>
        <w:t xml:space="preserve">  </w:t>
      </w:r>
      <w:r>
        <w:rPr>
          <w:rFonts w:hint="default" w:ascii="Times New Roman" w:hAnsi="Times New Roman" w:eastAsia="宋体" w:cs="Times New Roman"/>
          <w:lang w:eastAsia="zh-CN"/>
        </w:rPr>
        <w:t>重复性</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_Toc5555 \h </w:instrText>
      </w:r>
      <w:r>
        <w:rPr>
          <w:rFonts w:hint="default" w:ascii="Times New Roman" w:hAnsi="Times New Roman" w:eastAsia="宋体" w:cs="Times New Roman"/>
        </w:rPr>
        <w:fldChar w:fldCharType="separate"/>
      </w:r>
      <w:r>
        <w:rPr>
          <w:rFonts w:hint="default" w:ascii="Times New Roman" w:hAnsi="Times New Roman" w:eastAsia="宋体" w:cs="Times New Roman"/>
        </w:rPr>
        <w:t>6</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A1C7E87">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_Toc22392 </w:instrText>
      </w:r>
      <w:r>
        <w:rPr>
          <w:rFonts w:hint="default" w:ascii="Times New Roman" w:hAnsi="Times New Roman" w:eastAsia="宋体" w:cs="Times New Roman"/>
        </w:rPr>
        <w:fldChar w:fldCharType="separate"/>
      </w:r>
      <w:r>
        <w:rPr>
          <w:rFonts w:hint="default" w:ascii="Times New Roman" w:hAnsi="Times New Roman" w:eastAsia="宋体" w:cs="Times New Roman"/>
        </w:rPr>
        <w:t>8  校准结果表达</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_Toc22392 \h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CABA26B">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_Toc7769 </w:instrText>
      </w:r>
      <w:r>
        <w:rPr>
          <w:rFonts w:hint="default" w:ascii="Times New Roman" w:hAnsi="Times New Roman" w:eastAsia="宋体" w:cs="Times New Roman"/>
        </w:rPr>
        <w:fldChar w:fldCharType="separate"/>
      </w:r>
      <w:r>
        <w:rPr>
          <w:rFonts w:hint="default" w:ascii="Times New Roman" w:hAnsi="Times New Roman" w:eastAsia="宋体" w:cs="Times New Roman"/>
        </w:rPr>
        <w:t>9  复校时间间隔</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_Toc7769 \h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4E1F3521">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_Toc4502 </w:instrText>
      </w:r>
      <w:r>
        <w:rPr>
          <w:rFonts w:hint="default" w:ascii="Times New Roman" w:hAnsi="Times New Roman" w:eastAsia="宋体" w:cs="Times New Roman"/>
        </w:rPr>
        <w:fldChar w:fldCharType="separate"/>
      </w:r>
      <w:r>
        <w:rPr>
          <w:rFonts w:hint="default" w:ascii="Times New Roman" w:hAnsi="Times New Roman" w:eastAsia="宋体" w:cs="Times New Roman"/>
          <w:szCs w:val="22"/>
        </w:rPr>
        <w:t>附录</w:t>
      </w:r>
      <w:r>
        <w:rPr>
          <w:rFonts w:hint="default" w:ascii="Times New Roman" w:hAnsi="Times New Roman" w:eastAsia="宋体" w:cs="Times New Roman"/>
          <w:szCs w:val="22"/>
          <w:lang w:val="en-US" w:eastAsia="zh-CN"/>
        </w:rPr>
        <w:t>A</w:t>
      </w:r>
      <w:r>
        <w:rPr>
          <w:rFonts w:hint="default" w:ascii="Times New Roman" w:hAnsi="Times New Roman" w:eastAsia="宋体" w:cs="Times New Roman"/>
        </w:rPr>
        <w:fldChar w:fldCharType="end"/>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_Toc23283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2"/>
          <w:szCs w:val="28"/>
          <w:lang w:val="en-US" w:eastAsia="zh-CN" w:bidi="ar-SA"/>
        </w:rPr>
        <w:t>颈部模体</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_Toc23283 \h </w:instrText>
      </w:r>
      <w:r>
        <w:rPr>
          <w:rFonts w:hint="default" w:ascii="Times New Roman" w:hAnsi="Times New Roman" w:eastAsia="宋体" w:cs="Times New Roman"/>
        </w:rPr>
        <w:fldChar w:fldCharType="separate"/>
      </w:r>
      <w:r>
        <w:rPr>
          <w:rFonts w:hint="default" w:ascii="Times New Roman" w:hAnsi="Times New Roman" w:eastAsia="宋体" w:cs="Times New Roman"/>
        </w:rPr>
        <w:t>8</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060ED3A">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_Toc26003 </w:instrText>
      </w:r>
      <w:r>
        <w:rPr>
          <w:rFonts w:hint="default" w:ascii="Times New Roman" w:hAnsi="Times New Roman" w:eastAsia="宋体" w:cs="Times New Roman"/>
        </w:rPr>
        <w:fldChar w:fldCharType="separate"/>
      </w:r>
      <w:r>
        <w:rPr>
          <w:rFonts w:hint="default" w:ascii="Times New Roman" w:hAnsi="Times New Roman" w:eastAsia="宋体" w:cs="Times New Roman"/>
          <w:szCs w:val="22"/>
        </w:rPr>
        <w:t>附录</w:t>
      </w:r>
      <w:r>
        <w:rPr>
          <w:rFonts w:hint="default" w:ascii="Times New Roman" w:hAnsi="Times New Roman" w:eastAsia="宋体" w:cs="Times New Roman"/>
          <w:szCs w:val="22"/>
          <w:lang w:val="en-US" w:eastAsia="zh-CN"/>
        </w:rPr>
        <w:t>B</w:t>
      </w:r>
      <w:r>
        <w:rPr>
          <w:rFonts w:hint="default" w:ascii="Times New Roman" w:hAnsi="Times New Roman" w:eastAsia="宋体" w:cs="Times New Roman"/>
        </w:rPr>
        <w:fldChar w:fldCharType="end"/>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_Toc25024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2"/>
          <w:szCs w:val="28"/>
          <w:lang w:val="en-US" w:eastAsia="zh-CN" w:bidi="ar-SA"/>
        </w:rPr>
        <w:t>甲状腺碘测量仪校准原始记录（推荐）格式</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_Toc25024 \h </w:instrText>
      </w:r>
      <w:r>
        <w:rPr>
          <w:rFonts w:hint="default" w:ascii="Times New Roman" w:hAnsi="Times New Roman" w:eastAsia="宋体" w:cs="Times New Roman"/>
        </w:rPr>
        <w:fldChar w:fldCharType="separate"/>
      </w:r>
      <w:r>
        <w:rPr>
          <w:rFonts w:hint="default" w:ascii="Times New Roman" w:hAnsi="Times New Roman" w:eastAsia="宋体" w:cs="Times New Roman"/>
        </w:rPr>
        <w:t>9</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90BBAE5">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_Toc26753 </w:instrText>
      </w:r>
      <w:r>
        <w:rPr>
          <w:rFonts w:hint="default" w:ascii="Times New Roman" w:hAnsi="Times New Roman" w:eastAsia="宋体" w:cs="Times New Roman"/>
        </w:rPr>
        <w:fldChar w:fldCharType="separate"/>
      </w:r>
      <w:r>
        <w:rPr>
          <w:rFonts w:hint="default" w:ascii="Times New Roman" w:hAnsi="Times New Roman" w:eastAsia="宋体" w:cs="Times New Roman"/>
          <w:szCs w:val="22"/>
        </w:rPr>
        <w:t>附录</w:t>
      </w:r>
      <w:r>
        <w:rPr>
          <w:rFonts w:hint="default" w:ascii="Times New Roman" w:hAnsi="Times New Roman" w:eastAsia="宋体" w:cs="Times New Roman"/>
          <w:szCs w:val="22"/>
          <w:lang w:val="en-US" w:eastAsia="zh-CN"/>
        </w:rPr>
        <w:t>C</w:t>
      </w:r>
      <w:r>
        <w:rPr>
          <w:rFonts w:hint="default" w:ascii="Times New Roman" w:hAnsi="Times New Roman" w:eastAsia="宋体" w:cs="Times New Roman"/>
        </w:rPr>
        <w:fldChar w:fldCharType="end"/>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_Toc13330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2"/>
          <w:szCs w:val="28"/>
          <w:lang w:val="en-US" w:eastAsia="zh-CN" w:bidi="ar-SA"/>
        </w:rPr>
        <w:t>甲状腺碘测量仪校准证书内页（推荐）格式</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_Toc13330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185A6A8">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_Toc31949 </w:instrText>
      </w:r>
      <w:r>
        <w:rPr>
          <w:rFonts w:hint="default" w:ascii="Times New Roman" w:hAnsi="Times New Roman" w:eastAsia="宋体" w:cs="Times New Roman"/>
        </w:rPr>
        <w:fldChar w:fldCharType="separate"/>
      </w:r>
      <w:r>
        <w:rPr>
          <w:rFonts w:hint="default" w:ascii="Times New Roman" w:hAnsi="Times New Roman" w:eastAsia="宋体" w:cs="Times New Roman"/>
          <w:szCs w:val="22"/>
        </w:rPr>
        <w:t>附录</w:t>
      </w:r>
      <w:r>
        <w:rPr>
          <w:rFonts w:hint="default" w:ascii="Times New Roman" w:hAnsi="Times New Roman" w:eastAsia="宋体" w:cs="Times New Roman"/>
          <w:szCs w:val="22"/>
          <w:lang w:val="en-US" w:eastAsia="zh-CN"/>
        </w:rPr>
        <w:t>D</w:t>
      </w:r>
      <w:r>
        <w:rPr>
          <w:rFonts w:hint="default" w:ascii="Times New Roman" w:hAnsi="Times New Roman" w:eastAsia="宋体" w:cs="Times New Roman"/>
        </w:rPr>
        <w:fldChar w:fldCharType="end"/>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_Toc32642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2"/>
          <w:szCs w:val="28"/>
          <w:lang w:val="en-US" w:eastAsia="zh-CN" w:bidi="ar-SA"/>
        </w:rPr>
        <w:t>甲状腺碘测量仪活度响应测量结果不确定度评定示例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_Toc32642 \h </w:instrText>
      </w:r>
      <w:r>
        <w:rPr>
          <w:rFonts w:hint="default" w:ascii="Times New Roman" w:hAnsi="Times New Roman" w:eastAsia="宋体" w:cs="Times New Roman"/>
        </w:rPr>
        <w:fldChar w:fldCharType="separate"/>
      </w:r>
      <w:r>
        <w:rPr>
          <w:rFonts w:hint="default" w:ascii="Times New Roman" w:hAnsi="Times New Roman" w:eastAsia="宋体" w:cs="Times New Roman"/>
        </w:rPr>
        <w:t>11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73F3841">
      <w:pPr>
        <w:pStyle w:val="15"/>
        <w:keepNext w:val="0"/>
        <w:keepLines w:val="0"/>
        <w:pageBreakBefore w:val="0"/>
        <w:widowControl w:val="0"/>
        <w:tabs>
          <w:tab w:val="right" w:leader="dot" w:pos="8732"/>
        </w:tabs>
        <w:kinsoku/>
        <w:wordWrap/>
        <w:overflowPunct/>
        <w:topLinePunct w:val="0"/>
        <w:autoSpaceDE/>
        <w:autoSpaceDN/>
        <w:bidi w:val="0"/>
        <w:adjustRightInd/>
        <w:snapToGrid/>
        <w:spacing w:line="400" w:lineRule="exact"/>
        <w:ind w:left="0" w:leftChars="0" w:firstLine="0" w:firstLineChars="0"/>
        <w:textAlignment w:val="auto"/>
        <w:sectPr>
          <w:footerReference r:id="rId17" w:type="default"/>
          <w:footerReference r:id="rId18" w:type="even"/>
          <w:pgSz w:w="11906" w:h="16838"/>
          <w:pgMar w:top="1587" w:right="1587" w:bottom="1417" w:left="1587" w:header="1134" w:footer="907" w:gutter="0"/>
          <w:pgBorders>
            <w:top w:val="none" w:sz="0" w:space="0"/>
            <w:left w:val="none" w:sz="0" w:space="0"/>
            <w:bottom w:val="none" w:sz="0" w:space="0"/>
            <w:right w:val="none" w:sz="0" w:space="0"/>
          </w:pgBorders>
          <w:pgNumType w:fmt="upperRoman" w:start="1"/>
          <w:cols w:space="0" w:num="1"/>
          <w:rtlGutter w:val="0"/>
          <w:docGrid w:type="lines" w:linePitch="294" w:charSpace="0"/>
        </w:sectPr>
      </w:pPr>
      <w:r>
        <w:rPr>
          <w:rFonts w:hint="default" w:ascii="Times New Roman" w:hAnsi="Times New Roman" w:eastAsia="宋体" w:cs="Times New Roman"/>
        </w:rPr>
        <w:fldChar w:fldCharType="end"/>
      </w:r>
    </w:p>
    <w:p w14:paraId="44810446">
      <w:pPr>
        <w:pStyle w:val="18"/>
        <w:keepNext w:val="0"/>
        <w:keepLines w:val="0"/>
        <w:pageBreakBefore w:val="0"/>
        <w:widowControl w:val="0"/>
        <w:kinsoku/>
        <w:wordWrap/>
        <w:overflowPunct/>
        <w:topLinePunct w:val="0"/>
        <w:autoSpaceDE/>
        <w:autoSpaceDN/>
        <w:bidi w:val="0"/>
        <w:adjustRightInd/>
        <w:snapToGrid/>
        <w:spacing w:before="147" w:after="147"/>
        <w:ind w:firstLine="0" w:firstLineChars="0"/>
        <w:jc w:val="center"/>
        <w:textAlignment w:val="auto"/>
        <w:rPr>
          <w:rFonts w:hint="eastAsia"/>
          <w:color w:val="000000" w:themeColor="text1"/>
          <w:sz w:val="44"/>
          <w:szCs w:val="44"/>
          <w14:textFill>
            <w14:solidFill>
              <w14:schemeClr w14:val="tx1"/>
            </w14:solidFill>
          </w14:textFill>
        </w:rPr>
      </w:pPr>
      <w:bookmarkStart w:id="6" w:name="_Toc19972"/>
      <w:bookmarkStart w:id="7" w:name="_Toc26441"/>
      <w:bookmarkStart w:id="8" w:name="_Toc140477860"/>
      <w:bookmarkStart w:id="9" w:name="_Toc8927"/>
    </w:p>
    <w:p w14:paraId="45E300C5">
      <w:pPr>
        <w:pStyle w:val="18"/>
        <w:keepNext w:val="0"/>
        <w:keepLines w:val="0"/>
        <w:pageBreakBefore w:val="0"/>
        <w:widowControl w:val="0"/>
        <w:kinsoku/>
        <w:wordWrap/>
        <w:overflowPunct/>
        <w:topLinePunct w:val="0"/>
        <w:autoSpaceDE/>
        <w:autoSpaceDN/>
        <w:bidi w:val="0"/>
        <w:adjustRightInd/>
        <w:snapToGrid/>
        <w:spacing w:before="295" w:beforeLines="100" w:after="295" w:afterLines="100"/>
        <w:ind w:firstLine="0" w:firstLineChars="0"/>
        <w:jc w:val="center"/>
        <w:textAlignment w:val="auto"/>
        <w:rPr>
          <w:color w:val="000000" w:themeColor="text1"/>
          <w:sz w:val="44"/>
          <w:szCs w:val="44"/>
          <w14:textFill>
            <w14:solidFill>
              <w14:schemeClr w14:val="tx1"/>
            </w14:solidFill>
          </w14:textFill>
        </w:rPr>
      </w:pPr>
      <w:bookmarkStart w:id="10" w:name="_Toc14457"/>
      <w:r>
        <w:rPr>
          <w:rFonts w:hint="eastAsia"/>
          <w:color w:val="000000" w:themeColor="text1"/>
          <w:sz w:val="44"/>
          <w:szCs w:val="44"/>
          <w14:textFill>
            <w14:solidFill>
              <w14:schemeClr w14:val="tx1"/>
            </w14:solidFill>
          </w14:textFill>
        </w:rPr>
        <w:t xml:space="preserve">引 </w:t>
      </w:r>
      <w:r>
        <w:rPr>
          <w:color w:val="000000" w:themeColor="text1"/>
          <w:sz w:val="44"/>
          <w:szCs w:val="44"/>
          <w14:textFill>
            <w14:solidFill>
              <w14:schemeClr w14:val="tx1"/>
            </w14:solidFill>
          </w14:textFill>
        </w:rPr>
        <w:t xml:space="preserve"> </w:t>
      </w:r>
      <w:r>
        <w:rPr>
          <w:rFonts w:hint="eastAsia"/>
          <w:color w:val="000000" w:themeColor="text1"/>
          <w:sz w:val="44"/>
          <w:szCs w:val="44"/>
          <w14:textFill>
            <w14:solidFill>
              <w14:schemeClr w14:val="tx1"/>
            </w14:solidFill>
          </w14:textFill>
        </w:rPr>
        <w:t>言</w:t>
      </w:r>
      <w:bookmarkEnd w:id="6"/>
      <w:bookmarkEnd w:id="7"/>
      <w:bookmarkEnd w:id="8"/>
      <w:bookmarkEnd w:id="9"/>
      <w:bookmarkEnd w:id="10"/>
    </w:p>
    <w:p w14:paraId="0B136537">
      <w:pPr>
        <w:keepNext w:val="0"/>
        <w:keepLines w:val="0"/>
        <w:pageBreakBefore w:val="0"/>
        <w:widowControl w:val="0"/>
        <w:tabs>
          <w:tab w:val="left" w:pos="425"/>
        </w:tabs>
        <w:kinsoku/>
        <w:wordWrap/>
        <w:overflowPunct/>
        <w:topLinePunct w:val="0"/>
        <w:autoSpaceDE/>
        <w:autoSpaceDN/>
        <w:bidi w:val="0"/>
        <w:adjustRightInd/>
        <w:snapToGrid w:val="0"/>
        <w:spacing w:line="480" w:lineRule="exact"/>
        <w:ind w:firstLine="48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JJF 1001—2011《通用计量术语及定义》、JJF 1059.1—2012《测量不确定度评定与表示》、JJF 1071—2010《国家计量校准规范编写规则》共同构成支撑本规范制定工作的基础性系列文件。</w:t>
      </w:r>
    </w:p>
    <w:p w14:paraId="19A7256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本规范的制定主要参考</w:t>
      </w:r>
      <w:r>
        <w:rPr>
          <w:rFonts w:hint="eastAsia" w:cs="Times New Roman"/>
          <w:color w:val="000000" w:themeColor="text1"/>
          <w:lang w:val="en-US" w:eastAsia="zh-CN"/>
          <w14:textFill>
            <w14:solidFill>
              <w14:schemeClr w14:val="tx1"/>
            </w14:solidFill>
          </w14:textFill>
        </w:rPr>
        <w:t>了</w:t>
      </w:r>
      <w:r>
        <w:rPr>
          <w:rFonts w:hint="default" w:ascii="Times New Roman" w:hAnsi="Times New Roman" w:eastAsia="宋体" w:cs="Times New Roman"/>
          <w:kern w:val="0"/>
          <w:sz w:val="24"/>
          <w:lang w:val="en-US" w:eastAsia="zh-CN"/>
        </w:rPr>
        <w:t>ANSI/HPS N13.44《Thyroid Phantom Used in Occupational Monitoring</w:t>
      </w:r>
      <w:r>
        <w:rPr>
          <w:rFonts w:hint="default" w:ascii="Times New Roman" w:hAnsi="Times New Roman" w:cs="Times New Roman"/>
          <w:kern w:val="0"/>
          <w:sz w:val="24"/>
          <w:lang w:val="en-US" w:eastAsia="zh-CN"/>
        </w:rPr>
        <w:t>》</w:t>
      </w:r>
      <w:r>
        <w:rPr>
          <w:rFonts w:hint="eastAsia" w:cs="Times New Roman"/>
          <w:kern w:val="0"/>
          <w:sz w:val="24"/>
          <w:lang w:val="en-US" w:eastAsia="zh-CN"/>
        </w:rPr>
        <w:t>和</w:t>
      </w:r>
      <w:r>
        <w:rPr>
          <w:rFonts w:hint="default" w:ascii="Times New Roman" w:hAnsi="Times New Roman" w:cs="Times New Roman"/>
          <w:color w:val="000000" w:themeColor="text1"/>
          <w14:textFill>
            <w14:solidFill>
              <w14:schemeClr w14:val="tx1"/>
            </w14:solidFill>
          </w14:textFill>
        </w:rPr>
        <w:t>IEC</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6145</w:t>
      </w:r>
      <w:r>
        <w:rPr>
          <w:rFonts w:hint="eastAsia" w:cs="Times New Roman"/>
          <w:color w:val="000000" w:themeColor="text1"/>
          <w:lang w:val="en-US" w:eastAsia="zh-CN"/>
          <w14:textFill>
            <w14:solidFill>
              <w14:schemeClr w14:val="tx1"/>
            </w14:solidFill>
          </w14:textFill>
        </w:rPr>
        <w:t>3：</w:t>
      </w:r>
      <w:r>
        <w:rPr>
          <w:rFonts w:hint="default" w:ascii="Times New Roman" w:hAnsi="Times New Roman" w:cs="Times New Roman"/>
          <w:color w:val="000000" w:themeColor="text1"/>
          <w14:textFill>
            <w14:solidFill>
              <w14:schemeClr w14:val="tx1"/>
            </w14:solidFill>
          </w14:textFill>
        </w:rPr>
        <w:t>2007《Nuclear instrumentation--Scintillation</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gamma ray detector systems for the assay of radionuclides--Calibration and routine tests》等</w:t>
      </w:r>
      <w:r>
        <w:rPr>
          <w:rFonts w:hint="eastAsia" w:cs="Times New Roman"/>
          <w:color w:val="000000" w:themeColor="text1"/>
          <w:lang w:eastAsia="zh-CN"/>
          <w14:textFill>
            <w14:solidFill>
              <w14:schemeClr w14:val="tx1"/>
            </w14:solidFill>
          </w14:textFill>
        </w:rPr>
        <w:t>国际</w:t>
      </w:r>
      <w:r>
        <w:rPr>
          <w:rFonts w:hint="default" w:ascii="Times New Roman" w:hAnsi="Times New Roman" w:cs="Times New Roman"/>
          <w:color w:val="000000" w:themeColor="text1"/>
          <w14:textFill>
            <w14:solidFill>
              <w14:schemeClr w14:val="tx1"/>
            </w14:solidFill>
          </w14:textFill>
        </w:rPr>
        <w:t>技术文件。</w:t>
      </w:r>
    </w:p>
    <w:p w14:paraId="301A5C05">
      <w:pPr>
        <w:keepNext w:val="0"/>
        <w:keepLines w:val="0"/>
        <w:pageBreakBefore w:val="0"/>
        <w:widowControl w:val="0"/>
        <w:tabs>
          <w:tab w:val="left" w:pos="425"/>
        </w:tabs>
        <w:kinsoku/>
        <w:wordWrap/>
        <w:overflowPunct/>
        <w:topLinePunct w:val="0"/>
        <w:autoSpaceDE/>
        <w:autoSpaceDN/>
        <w:bidi w:val="0"/>
        <w:adjustRightInd/>
        <w:snapToGrid w:val="0"/>
        <w:spacing w:line="480" w:lineRule="exact"/>
        <w:ind w:firstLine="48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本规范为首次发布。</w:t>
      </w:r>
    </w:p>
    <w:p w14:paraId="259FE2B0">
      <w:pPr>
        <w:ind w:left="0" w:leftChars="0" w:firstLine="0" w:firstLineChars="0"/>
        <w:rPr>
          <w:rFonts w:ascii="宋体" w:hAnsi="宋体"/>
          <w:color w:val="000000" w:themeColor="text1"/>
          <w14:textFill>
            <w14:solidFill>
              <w14:schemeClr w14:val="tx1"/>
            </w14:solidFill>
          </w14:textFill>
        </w:rPr>
        <w:sectPr>
          <w:footerReference r:id="rId19" w:type="default"/>
          <w:footerReference r:id="rId20" w:type="even"/>
          <w:pgSz w:w="11906" w:h="16838"/>
          <w:pgMar w:top="1587" w:right="1587" w:bottom="1417" w:left="1587" w:header="1134" w:footer="907" w:gutter="0"/>
          <w:pgBorders>
            <w:top w:val="none" w:sz="0" w:space="0"/>
            <w:left w:val="none" w:sz="0" w:space="0"/>
            <w:bottom w:val="none" w:sz="0" w:space="0"/>
            <w:right w:val="none" w:sz="0" w:space="0"/>
          </w:pgBorders>
          <w:pgNumType w:fmt="upperRoman"/>
          <w:cols w:space="0" w:num="1"/>
          <w:rtlGutter w:val="0"/>
          <w:docGrid w:type="lines" w:linePitch="294" w:charSpace="0"/>
        </w:sectPr>
      </w:pPr>
    </w:p>
    <w:p w14:paraId="5E02ACC1">
      <w:pPr>
        <w:keepNext w:val="0"/>
        <w:keepLines w:val="0"/>
        <w:pageBreakBefore w:val="0"/>
        <w:widowControl w:val="0"/>
        <w:kinsoku/>
        <w:wordWrap/>
        <w:overflowPunct/>
        <w:topLinePunct w:val="0"/>
        <w:autoSpaceDE/>
        <w:autoSpaceDN/>
        <w:bidi w:val="0"/>
        <w:adjustRightInd/>
        <w:snapToGrid/>
        <w:spacing w:before="148" w:beforeLines="50" w:line="240" w:lineRule="auto"/>
        <w:ind w:firstLine="0" w:firstLineChars="0"/>
        <w:jc w:val="center"/>
        <w:textAlignment w:val="auto"/>
        <w:rPr>
          <w:rFonts w:ascii="黑体" w:hAnsi="黑体" w:eastAsia="黑体" w:cs="黑体"/>
          <w:color w:val="000000" w:themeColor="text1"/>
          <w:sz w:val="32"/>
          <w:szCs w:val="32"/>
          <w14:textFill>
            <w14:solidFill>
              <w14:schemeClr w14:val="tx1"/>
            </w14:solidFill>
          </w14:textFill>
        </w:rPr>
      </w:pPr>
      <w:bookmarkStart w:id="11" w:name="_Toc8953"/>
      <w:r>
        <w:rPr>
          <w:rFonts w:hint="eastAsia" w:ascii="黑体" w:hAnsi="黑体" w:eastAsia="黑体" w:cs="黑体"/>
          <w:color w:val="000000" w:themeColor="text1"/>
          <w:sz w:val="32"/>
          <w:szCs w:val="32"/>
          <w:lang w:eastAsia="zh-CN"/>
          <w14:textFill>
            <w14:solidFill>
              <w14:schemeClr w14:val="tx1"/>
            </w14:solidFill>
          </w14:textFill>
        </w:rPr>
        <w:t>甲状腺碘测量仪</w:t>
      </w:r>
      <w:r>
        <w:rPr>
          <w:rFonts w:hint="eastAsia" w:ascii="黑体" w:hAnsi="黑体" w:eastAsia="黑体" w:cs="黑体"/>
          <w:color w:val="000000" w:themeColor="text1"/>
          <w:sz w:val="32"/>
          <w:szCs w:val="32"/>
          <w14:textFill>
            <w14:solidFill>
              <w14:schemeClr w14:val="tx1"/>
            </w14:solidFill>
          </w14:textFill>
        </w:rPr>
        <w:t>校准规范</w:t>
      </w:r>
      <w:bookmarkEnd w:id="11"/>
    </w:p>
    <w:p w14:paraId="25D3728B">
      <w:pPr>
        <w:pStyle w:val="2"/>
        <w:pageBreakBefore w:val="0"/>
        <w:kinsoku/>
        <w:wordWrap/>
        <w:overflowPunct/>
        <w:topLinePunct w:val="0"/>
        <w:bidi w:val="0"/>
        <w:snapToGrid/>
        <w:spacing w:line="480" w:lineRule="exact"/>
        <w:textAlignment w:val="auto"/>
      </w:pPr>
      <w:bookmarkStart w:id="12" w:name="_Toc140477861"/>
      <w:bookmarkStart w:id="13" w:name="_Toc29115"/>
      <w:bookmarkStart w:id="14" w:name="_Toc31766"/>
      <w:bookmarkStart w:id="15" w:name="_Toc14848"/>
      <w:bookmarkStart w:id="16" w:name="_Toc1317"/>
      <w:r>
        <w:t>1</w:t>
      </w:r>
      <w:r>
        <w:rPr>
          <w:rFonts w:hint="eastAsia"/>
        </w:rPr>
        <w:t xml:space="preserve">  范围</w:t>
      </w:r>
      <w:bookmarkEnd w:id="12"/>
      <w:bookmarkEnd w:id="13"/>
      <w:bookmarkEnd w:id="14"/>
      <w:bookmarkEnd w:id="15"/>
      <w:bookmarkEnd w:id="16"/>
    </w:p>
    <w:p w14:paraId="6AF20E6A">
      <w:pPr>
        <w:keepNext w:val="0"/>
        <w:keepLines w:val="0"/>
        <w:pageBreakBefore w:val="0"/>
        <w:widowControl w:val="0"/>
        <w:kinsoku/>
        <w:wordWrap/>
        <w:overflowPunct/>
        <w:topLinePunct w:val="0"/>
        <w:autoSpaceDE/>
        <w:autoSpaceDN/>
        <w:bidi w:val="0"/>
        <w:adjustRightInd/>
        <w:snapToGrid/>
        <w:spacing w:line="480" w:lineRule="exact"/>
        <w:ind w:firstLine="480"/>
        <w:textAlignment w:val="auto"/>
      </w:pPr>
      <w:r>
        <w:rPr>
          <w:rFonts w:hint="eastAsia"/>
        </w:rPr>
        <w:t>本规范适用于</w:t>
      </w:r>
      <w:r>
        <w:rPr>
          <w:rFonts w:hint="eastAsia"/>
          <w:lang w:eastAsia="zh-CN"/>
        </w:rPr>
        <w:t>甲状腺碘测量仪</w:t>
      </w:r>
      <w:r>
        <w:rPr>
          <w:rFonts w:hint="eastAsia"/>
        </w:rPr>
        <w:t>的校准。</w:t>
      </w:r>
    </w:p>
    <w:p w14:paraId="364B0073">
      <w:pPr>
        <w:pStyle w:val="2"/>
        <w:pageBreakBefore w:val="0"/>
        <w:kinsoku/>
        <w:wordWrap/>
        <w:overflowPunct/>
        <w:topLinePunct w:val="0"/>
        <w:bidi w:val="0"/>
        <w:snapToGrid/>
        <w:spacing w:line="480" w:lineRule="exact"/>
        <w:textAlignment w:val="auto"/>
      </w:pPr>
      <w:bookmarkStart w:id="17" w:name="_Toc17254"/>
      <w:bookmarkStart w:id="18" w:name="_Toc140477862"/>
      <w:bookmarkStart w:id="19" w:name="_Toc5440"/>
      <w:bookmarkStart w:id="20" w:name="_Toc15520"/>
      <w:bookmarkStart w:id="21" w:name="_Toc18964"/>
      <w:r>
        <w:rPr>
          <w:rFonts w:hint="eastAsia"/>
        </w:rPr>
        <w:t>2  引用文件</w:t>
      </w:r>
      <w:bookmarkEnd w:id="17"/>
      <w:bookmarkEnd w:id="18"/>
      <w:bookmarkEnd w:id="19"/>
      <w:bookmarkEnd w:id="20"/>
      <w:bookmarkEnd w:id="21"/>
    </w:p>
    <w:p w14:paraId="4828D17E">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JJF 1035</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sz w:val="24"/>
          <w:szCs w:val="24"/>
        </w:rPr>
        <w:t>2006 电离辐射计量术语及定义</w:t>
      </w:r>
    </w:p>
    <w:p w14:paraId="5DA762DE">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JJF 1744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2019 闪烁体探测器γ谱仪校准规范</w:t>
      </w:r>
    </w:p>
    <w:p w14:paraId="2CB0354E">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4833.1—2007</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多道分析器 第1部分：主要技术要求与试验方法</w:t>
      </w:r>
    </w:p>
    <w:p w14:paraId="6B099C8C">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T/WSJD 43</w:t>
      </w:r>
      <w:r>
        <w:rPr>
          <w:rFonts w:hint="default" w:ascii="Times New Roman" w:hAnsi="Times New Roman"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2023 甲状腺</w:t>
      </w:r>
      <w:r>
        <w:rPr>
          <w:rFonts w:hint="eastAsia" w:cs="Times New Roman"/>
          <w:color w:val="000000" w:themeColor="text1"/>
          <w:vertAlign w:val="superscript"/>
          <w:lang w:val="en-US" w:eastAsia="zh-CN"/>
          <w14:textFill>
            <w14:solidFill>
              <w14:schemeClr w14:val="tx1"/>
            </w14:solidFill>
          </w14:textFill>
        </w:rPr>
        <w:t>131</w:t>
      </w:r>
      <w:r>
        <w:rPr>
          <w:rFonts w:hint="eastAsia" w:cs="Times New Roman"/>
          <w:color w:val="000000" w:themeColor="text1"/>
          <w:lang w:val="en-US" w:eastAsia="zh-CN"/>
          <w14:textFill>
            <w14:solidFill>
              <w14:schemeClr w14:val="tx1"/>
            </w14:solidFill>
          </w14:textFill>
        </w:rPr>
        <w:t>I体外测量技术方法</w:t>
      </w:r>
    </w:p>
    <w:p w14:paraId="6A309A8A">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ANSI/HPS N13.44</w:t>
      </w:r>
      <w:r>
        <w:rPr>
          <w:rFonts w:hint="default" w:ascii="Times New Roman" w:hAnsi="Times New Roman"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2014</w:t>
      </w:r>
      <w:r>
        <w:rPr>
          <w:rFonts w:hint="default" w:ascii="Times New Roman" w:hAnsi="Times New Roman" w:cs="Times New Roman"/>
          <w:kern w:val="0"/>
          <w:sz w:val="24"/>
          <w:lang w:val="en-US" w:eastAsia="zh-CN"/>
        </w:rPr>
        <w:t xml:space="preserve"> </w:t>
      </w:r>
      <w:r>
        <w:rPr>
          <w:rFonts w:ascii="Arial" w:hAnsi="Arial" w:eastAsia="宋体" w:cs="Arial"/>
          <w:i w:val="0"/>
          <w:iCs w:val="0"/>
          <w:caps w:val="0"/>
          <w:color w:val="333333"/>
          <w:spacing w:val="0"/>
          <w:kern w:val="0"/>
          <w:sz w:val="0"/>
          <w:szCs w:val="0"/>
          <w:shd w:val="clear" w:fill="FFFFFF"/>
          <w:lang w:val="en-US" w:eastAsia="zh-CN" w:bidi="ar"/>
        </w:rPr>
        <w:t> </w:t>
      </w:r>
      <w:r>
        <w:rPr>
          <w:rFonts w:hint="eastAsia" w:ascii="Times New Roman" w:hAnsi="Times New Roman" w:eastAsia="宋体" w:cs="Times New Roman"/>
          <w:kern w:val="0"/>
          <w:sz w:val="24"/>
          <w:szCs w:val="24"/>
          <w:lang w:val="en-US" w:eastAsia="zh-CN" w:bidi="ar-SA"/>
        </w:rPr>
        <w:t>甲状腺模</w:t>
      </w:r>
      <w:r>
        <w:rPr>
          <w:rFonts w:hint="eastAsia" w:ascii="Times New Roman" w:hAnsi="Times New Roman" w:cs="Times New Roman"/>
          <w:kern w:val="0"/>
          <w:sz w:val="24"/>
          <w:szCs w:val="24"/>
          <w:lang w:val="en-US" w:eastAsia="zh-CN" w:bidi="ar-SA"/>
        </w:rPr>
        <w:t>体</w:t>
      </w:r>
      <w:r>
        <w:rPr>
          <w:rFonts w:hint="eastAsia" w:ascii="Times New Roman" w:hAnsi="Times New Roman" w:eastAsia="宋体" w:cs="Times New Roman"/>
          <w:kern w:val="0"/>
          <w:sz w:val="24"/>
          <w:szCs w:val="24"/>
          <w:lang w:val="en-US" w:eastAsia="zh-CN" w:bidi="ar-SA"/>
        </w:rPr>
        <w:t>在职业</w:t>
      </w:r>
      <w:r>
        <w:rPr>
          <w:rFonts w:hint="eastAsia" w:ascii="Times New Roman" w:hAnsi="Times New Roman" w:cs="Times New Roman"/>
          <w:kern w:val="0"/>
          <w:sz w:val="24"/>
          <w:szCs w:val="24"/>
          <w:lang w:val="en-US" w:eastAsia="zh-CN" w:bidi="ar-SA"/>
        </w:rPr>
        <w:t>监测</w:t>
      </w:r>
      <w:r>
        <w:rPr>
          <w:rFonts w:hint="eastAsia" w:ascii="Times New Roman" w:hAnsi="Times New Roman" w:eastAsia="宋体" w:cs="Times New Roman"/>
          <w:kern w:val="0"/>
          <w:sz w:val="24"/>
          <w:szCs w:val="24"/>
          <w:lang w:val="en-US" w:eastAsia="zh-CN" w:bidi="ar-SA"/>
        </w:rPr>
        <w:t>中的应用</w:t>
      </w:r>
      <w:r>
        <w:rPr>
          <w:rFonts w:hint="eastAsia" w:ascii="Times New Roman" w:hAnsi="Times New Roman" w:cs="Times New Roman"/>
          <w:kern w:val="0"/>
          <w:sz w:val="24"/>
          <w:szCs w:val="24"/>
          <w:lang w:val="en-US" w:eastAsia="zh-CN" w:bidi="ar-SA"/>
        </w:rPr>
        <w:t>（</w:t>
      </w:r>
      <w:r>
        <w:rPr>
          <w:rFonts w:hint="default" w:ascii="Times New Roman" w:hAnsi="Times New Roman" w:eastAsia="宋体" w:cs="Times New Roman"/>
          <w:kern w:val="0"/>
          <w:sz w:val="24"/>
          <w:lang w:val="en-US" w:eastAsia="zh-CN"/>
        </w:rPr>
        <w:t>Thyroid Phantom Used in Occupational Monitoring</w:t>
      </w:r>
      <w:r>
        <w:rPr>
          <w:rFonts w:hint="eastAsia" w:ascii="Times New Roman" w:hAnsi="Times New Roman" w:cs="Times New Roman"/>
          <w:kern w:val="0"/>
          <w:sz w:val="24"/>
          <w:szCs w:val="24"/>
          <w:lang w:val="en-US" w:eastAsia="zh-CN" w:bidi="ar-SA"/>
        </w:rPr>
        <w:t>）</w:t>
      </w:r>
    </w:p>
    <w:p w14:paraId="4B873668">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IEC</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6145</w:t>
      </w:r>
      <w:r>
        <w:rPr>
          <w:rFonts w:hint="eastAsia" w:cs="Times New Roman"/>
          <w:color w:val="000000" w:themeColor="text1"/>
          <w:lang w:val="en-US" w:eastAsia="zh-CN"/>
          <w14:textFill>
            <w14:solidFill>
              <w14:schemeClr w14:val="tx1"/>
            </w14:solidFill>
          </w14:textFill>
        </w:rPr>
        <w:t>3：</w:t>
      </w:r>
      <w:r>
        <w:rPr>
          <w:rFonts w:hint="default" w:ascii="Times New Roman" w:hAnsi="Times New Roman" w:cs="Times New Roman"/>
          <w:color w:val="000000" w:themeColor="text1"/>
          <w14:textFill>
            <w14:solidFill>
              <w14:schemeClr w14:val="tx1"/>
            </w14:solidFill>
          </w14:textFill>
        </w:rPr>
        <w:t>2007</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核仪器 放射性核素分析用闪烁体γ探测器系统 校准和常规测试（Nuclear instrumentation--Scintillation gamma ray detector systems for the assay of radionuclides--Calibration and routine tests）</w:t>
      </w:r>
    </w:p>
    <w:p w14:paraId="281690AD">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480" w:firstLineChars="200"/>
        <w:jc w:val="both"/>
        <w:textAlignment w:val="auto"/>
        <w:rPr>
          <w:rFonts w:hint="default" w:ascii="Times New Roman" w:hAnsi="Times New Roman" w:cs="Times New Roman"/>
          <w:color w:val="FF0000"/>
          <w:kern w:val="0"/>
        </w:rPr>
      </w:pPr>
      <w:r>
        <w:rPr>
          <w:rFonts w:hint="default" w:ascii="Times New Roman" w:hAnsi="Times New Roman" w:cs="Times New Roman"/>
          <w:kern w:val="0"/>
        </w:rPr>
        <w:t>凡是注日期的引用文件，仅注日期的版本适用于本规范；凡是不注日期的引用文件，其最新版本（包括所有的修改单）适用于本规范。</w:t>
      </w:r>
    </w:p>
    <w:p w14:paraId="3AE409C7">
      <w:pPr>
        <w:pStyle w:val="2"/>
        <w:pageBreakBefore w:val="0"/>
        <w:kinsoku/>
        <w:wordWrap/>
        <w:overflowPunct/>
        <w:topLinePunct w:val="0"/>
        <w:bidi w:val="0"/>
        <w:snapToGrid/>
        <w:spacing w:line="480" w:lineRule="exact"/>
        <w:textAlignment w:val="auto"/>
        <w:rPr>
          <w:rFonts w:hint="eastAsia"/>
          <w:lang w:eastAsia="zh-CN"/>
        </w:rPr>
      </w:pPr>
      <w:bookmarkStart w:id="22" w:name="_Toc2346"/>
      <w:bookmarkStart w:id="23" w:name="_Toc27279"/>
      <w:bookmarkStart w:id="24" w:name="_Toc14736"/>
      <w:r>
        <w:rPr>
          <w:rFonts w:hint="eastAsia"/>
        </w:rPr>
        <w:t>3  术语和</w:t>
      </w:r>
      <w:bookmarkEnd w:id="22"/>
      <w:r>
        <w:rPr>
          <w:rFonts w:hint="eastAsia"/>
          <w:lang w:eastAsia="zh-CN"/>
        </w:rPr>
        <w:t>计量单位</w:t>
      </w:r>
      <w:bookmarkEnd w:id="23"/>
      <w:bookmarkEnd w:id="24"/>
    </w:p>
    <w:p w14:paraId="21A9BF81">
      <w:pPr>
        <w:pStyle w:val="4"/>
        <w:pageBreakBefore w:val="0"/>
        <w:kinsoku/>
        <w:wordWrap/>
        <w:overflowPunct/>
        <w:topLinePunct w:val="0"/>
        <w:bidi w:val="0"/>
        <w:snapToGrid/>
        <w:spacing w:line="480" w:lineRule="exact"/>
        <w:textAlignment w:val="auto"/>
        <w:rPr>
          <w:rFonts w:hint="eastAsia" w:eastAsia="宋体"/>
          <w:lang w:val="en-US" w:eastAsia="zh-CN"/>
        </w:rPr>
      </w:pPr>
      <w:bookmarkStart w:id="25" w:name="_Toc2006"/>
      <w:bookmarkStart w:id="26" w:name="_Toc9478"/>
      <w:r>
        <w:t xml:space="preserve">3.1  </w:t>
      </w:r>
      <w:bookmarkEnd w:id="25"/>
      <w:r>
        <w:rPr>
          <w:rFonts w:hint="eastAsia"/>
          <w:lang w:eastAsia="zh-CN"/>
        </w:rPr>
        <w:t>术语</w:t>
      </w:r>
      <w:bookmarkEnd w:id="26"/>
    </w:p>
    <w:p w14:paraId="44757669">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0" w:firstLineChars="0"/>
        <w:jc w:val="both"/>
        <w:textAlignment w:val="auto"/>
        <w:rPr>
          <w:rFonts w:hint="eastAsia"/>
          <w:color w:val="auto"/>
          <w:kern w:val="0"/>
          <w:lang w:val="en-US" w:eastAsia="zh-CN"/>
        </w:rPr>
      </w:pPr>
      <w:r>
        <w:rPr>
          <w:rFonts w:hint="eastAsia"/>
          <w:color w:val="auto"/>
          <w:kern w:val="0"/>
          <w:lang w:val="en-US" w:eastAsia="zh-CN"/>
        </w:rPr>
        <w:t>3.1.1  甲状腺功能测定仪 thyroid function tester</w:t>
      </w:r>
    </w:p>
    <w:p w14:paraId="6877EA4B">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480" w:firstLineChars="200"/>
        <w:jc w:val="both"/>
        <w:textAlignment w:val="auto"/>
        <w:rPr>
          <w:rFonts w:hint="eastAsia"/>
          <w:color w:val="auto"/>
          <w:lang w:val="en-US" w:eastAsia="zh-CN"/>
        </w:rPr>
      </w:pPr>
      <w:r>
        <w:rPr>
          <w:rFonts w:hint="eastAsia"/>
          <w:color w:val="auto"/>
          <w:lang w:eastAsia="zh-CN"/>
        </w:rPr>
        <w:t>服用放射药物后通过测量甲状腺的放射性计数来评价甲状腺功能的仪器。</w:t>
      </w:r>
    </w:p>
    <w:p w14:paraId="1D1AC3C0">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0" w:firstLineChars="0"/>
        <w:jc w:val="both"/>
        <w:textAlignment w:val="auto"/>
        <w:rPr>
          <w:rFonts w:hint="default"/>
          <w:kern w:val="0"/>
          <w:lang w:val="en-US" w:eastAsia="zh-CN"/>
        </w:rPr>
      </w:pPr>
      <w:r>
        <w:rPr>
          <w:rFonts w:hint="eastAsia"/>
          <w:kern w:val="0"/>
          <w:lang w:val="en-US" w:eastAsia="zh-CN"/>
        </w:rPr>
        <w:t>3.1.2  能量分辨力 energy resolution</w:t>
      </w:r>
    </w:p>
    <w:p w14:paraId="6A464FE8">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480" w:firstLineChars="200"/>
        <w:jc w:val="both"/>
        <w:textAlignment w:val="auto"/>
        <w:rPr>
          <w:rFonts w:hint="default"/>
          <w:kern w:val="0"/>
          <w:lang w:val="en-US" w:eastAsia="zh-CN"/>
        </w:rPr>
      </w:pPr>
      <w:r>
        <w:rPr>
          <w:rFonts w:hint="eastAsia"/>
          <w:lang w:eastAsia="zh-CN"/>
        </w:rPr>
        <w:t>对于某一给定的能量，探测器能分辨的两个粒子能量之间的最小相对差值。</w:t>
      </w:r>
    </w:p>
    <w:p w14:paraId="3FA36351">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0" w:firstLineChars="0"/>
        <w:jc w:val="both"/>
        <w:textAlignment w:val="auto"/>
        <w:rPr>
          <w:rFonts w:hint="eastAsia"/>
          <w:kern w:val="0"/>
          <w:lang w:val="en-US" w:eastAsia="zh-CN"/>
        </w:rPr>
      </w:pPr>
      <w:r>
        <w:rPr>
          <w:rFonts w:hint="eastAsia"/>
          <w:kern w:val="0"/>
          <w:lang w:val="en-US" w:eastAsia="zh-CN"/>
        </w:rPr>
        <w:t>3.1.3  半高全宽 full width at half maximum，FWHM</w:t>
      </w:r>
    </w:p>
    <w:p w14:paraId="750DAC27">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480" w:firstLineChars="200"/>
        <w:jc w:val="both"/>
        <w:textAlignment w:val="auto"/>
        <w:rPr>
          <w:rFonts w:hint="eastAsia"/>
          <w:kern w:val="0"/>
          <w:lang w:val="en-US" w:eastAsia="zh-CN"/>
        </w:rPr>
      </w:pPr>
      <w:r>
        <w:rPr>
          <w:rFonts w:hint="eastAsia"/>
          <w:kern w:val="0"/>
          <w:lang w:val="en-US" w:eastAsia="zh-CN"/>
        </w:rPr>
        <w:t>在脉冲幅度谱中，单峰峰值一半处两点横坐标之差的绝对值。</w:t>
      </w:r>
    </w:p>
    <w:p w14:paraId="383B60D4">
      <w:pPr>
        <w:keepNext w:val="0"/>
        <w:keepLines w:val="0"/>
        <w:pageBreakBefore w:val="0"/>
        <w:kinsoku/>
        <w:wordWrap/>
        <w:overflowPunct/>
        <w:topLinePunct w:val="0"/>
        <w:bidi w:val="0"/>
        <w:snapToGrid/>
        <w:spacing w:line="480" w:lineRule="exact"/>
        <w:ind w:left="0" w:leftChars="0" w:firstLine="0" w:firstLineChars="0"/>
        <w:textAlignment w:val="auto"/>
        <w:rPr>
          <w:sz w:val="24"/>
        </w:rPr>
      </w:pPr>
      <w:r>
        <w:rPr>
          <w:sz w:val="24"/>
        </w:rPr>
        <w:t>3.1.</w:t>
      </w:r>
      <w:r>
        <w:rPr>
          <w:rFonts w:hint="eastAsia"/>
          <w:sz w:val="24"/>
          <w:lang w:val="en-US" w:eastAsia="zh-CN"/>
        </w:rPr>
        <w:t>4</w:t>
      </w:r>
      <w:r>
        <w:rPr>
          <w:sz w:val="24"/>
        </w:rPr>
        <w:t xml:space="preserve"> </w:t>
      </w:r>
      <w:r>
        <w:rPr>
          <w:rFonts w:hint="eastAsia"/>
          <w:sz w:val="24"/>
          <w:lang w:val="en-US" w:eastAsia="zh-CN"/>
        </w:rPr>
        <w:t xml:space="preserve"> </w:t>
      </w:r>
      <w:r>
        <w:rPr>
          <w:sz w:val="24"/>
        </w:rPr>
        <w:t xml:space="preserve">全能峰效率 </w:t>
      </w:r>
      <w:r>
        <w:rPr>
          <w:rFonts w:eastAsia="黑体"/>
          <w:sz w:val="24"/>
        </w:rPr>
        <w:t>full-energy peak efficiency</w:t>
      </w:r>
    </w:p>
    <w:p w14:paraId="26E4475B">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480" w:firstLineChars="200"/>
        <w:jc w:val="both"/>
        <w:textAlignment w:val="auto"/>
        <w:rPr>
          <w:rFonts w:hint="eastAsia"/>
          <w:kern w:val="0"/>
          <w:lang w:val="en-US" w:eastAsia="zh-CN"/>
        </w:rPr>
      </w:pPr>
      <w:r>
        <w:rPr>
          <w:sz w:val="24"/>
        </w:rPr>
        <w:t>对给定的</w:t>
      </w:r>
      <w:r>
        <w:rPr>
          <w:rFonts w:hint="eastAsia"/>
          <w:sz w:val="24"/>
        </w:rPr>
        <w:t>样品（放射源）</w:t>
      </w:r>
      <w:r>
        <w:rPr>
          <w:rFonts w:hint="default" w:ascii="Times New Roman" w:hAnsi="Times New Roman" w:cs="Times New Roman"/>
          <w:color w:val="000000" w:themeColor="text1"/>
          <w14:textFill>
            <w14:solidFill>
              <w14:schemeClr w14:val="tx1"/>
            </w14:solidFill>
          </w14:textFill>
        </w:rPr>
        <w:t>—</w:t>
      </w:r>
      <w:r>
        <w:rPr>
          <w:sz w:val="24"/>
        </w:rPr>
        <w:t>探测器距离，测得的能量为</w:t>
      </w:r>
      <w:r>
        <w:rPr>
          <w:i/>
          <w:sz w:val="24"/>
        </w:rPr>
        <w:t>E</w:t>
      </w:r>
      <w:r>
        <w:rPr>
          <w:sz w:val="24"/>
        </w:rPr>
        <w:t>的γ射线全能峰净面积计数与同一时间间隔内样品（放射源）发射该能量γ射线数的比值。</w:t>
      </w:r>
    </w:p>
    <w:p w14:paraId="4E05EBBE">
      <w:pPr>
        <w:pStyle w:val="4"/>
        <w:pageBreakBefore w:val="0"/>
        <w:kinsoku/>
        <w:wordWrap/>
        <w:overflowPunct/>
        <w:topLinePunct w:val="0"/>
        <w:bidi w:val="0"/>
        <w:snapToGrid/>
        <w:spacing w:line="480" w:lineRule="exact"/>
        <w:textAlignment w:val="auto"/>
      </w:pPr>
      <w:bookmarkStart w:id="27" w:name="_Toc27199"/>
      <w:bookmarkStart w:id="28" w:name="_Toc8712"/>
      <w:r>
        <w:t xml:space="preserve">3.2  </w:t>
      </w:r>
      <w:bookmarkEnd w:id="27"/>
      <w:r>
        <w:rPr>
          <w:rFonts w:hint="eastAsia"/>
          <w:lang w:eastAsia="zh-CN"/>
        </w:rPr>
        <w:t>计量单位</w:t>
      </w:r>
      <w:bookmarkEnd w:id="28"/>
    </w:p>
    <w:p w14:paraId="03D571F3">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kern w:val="0"/>
        </w:rPr>
      </w:pPr>
      <w:r>
        <w:rPr>
          <w:rFonts w:hint="eastAsia"/>
          <w:kern w:val="0"/>
          <w:lang w:eastAsia="zh-CN"/>
        </w:rPr>
        <w:t>活度单位：</w:t>
      </w:r>
      <w:r>
        <w:rPr>
          <w:sz w:val="24"/>
        </w:rPr>
        <w:t>贝可</w:t>
      </w:r>
      <w:r>
        <w:rPr>
          <w:rFonts w:hint="eastAsia" w:ascii="宋体" w:hAnsi="宋体" w:eastAsia="宋体" w:cs="宋体"/>
          <w:sz w:val="24"/>
        </w:rPr>
        <w:t>[</w:t>
      </w:r>
      <w:r>
        <w:rPr>
          <w:sz w:val="24"/>
        </w:rPr>
        <w:t>勒尔</w:t>
      </w:r>
      <w:r>
        <w:rPr>
          <w:rFonts w:hint="eastAsia" w:ascii="宋体" w:hAnsi="宋体" w:eastAsia="宋体" w:cs="宋体"/>
          <w:sz w:val="24"/>
        </w:rPr>
        <w:t>]</w:t>
      </w:r>
      <w:r>
        <w:rPr>
          <w:sz w:val="24"/>
        </w:rPr>
        <w:t>；符号：Bq</w:t>
      </w:r>
      <w:r>
        <w:rPr>
          <w:kern w:val="0"/>
        </w:rPr>
        <w:t>。</w:t>
      </w:r>
    </w:p>
    <w:p w14:paraId="2D520D11">
      <w:pPr>
        <w:pStyle w:val="2"/>
        <w:pageBreakBefore w:val="0"/>
        <w:kinsoku/>
        <w:wordWrap/>
        <w:overflowPunct/>
        <w:topLinePunct w:val="0"/>
        <w:bidi w:val="0"/>
        <w:snapToGrid/>
        <w:spacing w:line="480" w:lineRule="exact"/>
        <w:textAlignment w:val="auto"/>
        <w:rPr>
          <w:rFonts w:hint="eastAsia"/>
        </w:rPr>
      </w:pPr>
      <w:bookmarkStart w:id="29" w:name="_Toc21137"/>
      <w:bookmarkStart w:id="30" w:name="_Toc25820"/>
      <w:bookmarkStart w:id="31" w:name="_Toc31298"/>
      <w:r>
        <w:rPr>
          <w:rFonts w:hint="eastAsia"/>
        </w:rPr>
        <w:t>4  概述</w:t>
      </w:r>
      <w:bookmarkEnd w:id="29"/>
      <w:bookmarkEnd w:id="30"/>
      <w:bookmarkEnd w:id="31"/>
    </w:p>
    <w:p w14:paraId="61860353">
      <w:pPr>
        <w:keepNext w:val="0"/>
        <w:keepLines w:val="0"/>
        <w:pageBreakBefore w:val="0"/>
        <w:widowControl w:val="0"/>
        <w:kinsoku/>
        <w:wordWrap/>
        <w:overflowPunct/>
        <w:topLinePunct w:val="0"/>
        <w:autoSpaceDE/>
        <w:autoSpaceDN/>
        <w:bidi w:val="0"/>
        <w:adjustRightInd/>
        <w:snapToGrid/>
        <w:spacing w:line="480" w:lineRule="exact"/>
        <w:ind w:right="0" w:firstLine="480" w:firstLineChars="200"/>
        <w:textAlignment w:val="auto"/>
        <w:rPr>
          <w:rFonts w:hint="eastAsia" w:cs="Times New Roman" w:eastAsiaTheme="minorEastAsia"/>
          <w:bCs/>
          <w:color w:val="auto"/>
          <w:sz w:val="24"/>
          <w:szCs w:val="28"/>
          <w:lang w:eastAsia="zh-CN"/>
        </w:rPr>
      </w:pPr>
      <w:r>
        <w:rPr>
          <w:rFonts w:hint="eastAsia" w:ascii="Times New Roman" w:hAnsi="Times New Roman" w:cs="Times New Roman" w:eastAsiaTheme="minorEastAsia"/>
          <w:bCs/>
          <w:color w:val="auto"/>
          <w:sz w:val="24"/>
          <w:szCs w:val="28"/>
          <w:lang w:eastAsia="zh-CN"/>
        </w:rPr>
        <w:t>甲状腺碘测量仪</w:t>
      </w:r>
      <w:r>
        <w:rPr>
          <w:rFonts w:hint="eastAsia" w:cs="Times New Roman" w:eastAsiaTheme="minorEastAsia"/>
          <w:bCs/>
          <w:color w:val="auto"/>
          <w:sz w:val="24"/>
          <w:szCs w:val="28"/>
          <w:lang w:eastAsia="zh-CN"/>
        </w:rPr>
        <w:t>根据是否将采集的</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信号形成</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能谱分为能谱型测量仪和计数型测量仪。能谱型测量仪一般</w:t>
      </w:r>
      <w:r>
        <w:rPr>
          <w:rFonts w:hint="eastAsia" w:ascii="Times New Roman" w:hAnsi="Times New Roman" w:cs="Times New Roman" w:eastAsiaTheme="minorEastAsia"/>
          <w:bCs/>
          <w:color w:val="auto"/>
          <w:sz w:val="24"/>
          <w:szCs w:val="28"/>
          <w:lang w:eastAsia="zh-CN"/>
        </w:rPr>
        <w:t>由</w:t>
      </w:r>
      <w:r>
        <w:rPr>
          <w:rFonts w:hint="eastAsia" w:cs="Times New Roman" w:eastAsiaTheme="minorEastAsia"/>
          <w:bCs/>
          <w:color w:val="auto"/>
          <w:sz w:val="24"/>
          <w:szCs w:val="28"/>
          <w:lang w:eastAsia="zh-CN"/>
        </w:rPr>
        <w:t>闪烁体</w:t>
      </w:r>
      <w:r>
        <w:rPr>
          <w:rFonts w:hint="eastAsia" w:ascii="Times New Roman" w:hAnsi="Times New Roman" w:cs="Times New Roman" w:eastAsiaTheme="minorEastAsia"/>
          <w:bCs/>
          <w:color w:val="auto"/>
          <w:sz w:val="24"/>
          <w:szCs w:val="28"/>
          <w:lang w:eastAsia="zh-CN"/>
        </w:rPr>
        <w:t>、</w:t>
      </w:r>
      <w:r>
        <w:rPr>
          <w:rFonts w:hint="eastAsia" w:cs="Times New Roman" w:eastAsiaTheme="minorEastAsia"/>
          <w:bCs/>
          <w:color w:val="auto"/>
          <w:sz w:val="24"/>
          <w:szCs w:val="28"/>
          <w:lang w:eastAsia="zh-CN"/>
        </w:rPr>
        <w:t>光电倍增管、</w:t>
      </w:r>
      <w:r>
        <w:rPr>
          <w:rFonts w:hint="eastAsia" w:ascii="Times New Roman" w:hAnsi="Times New Roman" w:cs="Times New Roman" w:eastAsiaTheme="minorEastAsia"/>
          <w:bCs/>
          <w:color w:val="auto"/>
          <w:sz w:val="24"/>
          <w:szCs w:val="28"/>
          <w:lang w:eastAsia="zh-CN"/>
        </w:rPr>
        <w:t>铅屏蔽</w:t>
      </w:r>
      <w:r>
        <w:rPr>
          <w:rFonts w:hint="eastAsia" w:cs="Times New Roman" w:eastAsiaTheme="minorEastAsia"/>
          <w:bCs/>
          <w:color w:val="auto"/>
          <w:sz w:val="24"/>
          <w:szCs w:val="28"/>
          <w:lang w:eastAsia="zh-CN"/>
        </w:rPr>
        <w:t>准直器</w:t>
      </w:r>
      <w:r>
        <w:rPr>
          <w:rFonts w:hint="eastAsia" w:ascii="Times New Roman" w:hAnsi="Times New Roman" w:cs="Times New Roman" w:eastAsiaTheme="minorEastAsia"/>
          <w:bCs/>
          <w:color w:val="auto"/>
          <w:sz w:val="24"/>
          <w:szCs w:val="28"/>
          <w:lang w:eastAsia="zh-CN"/>
        </w:rPr>
        <w:t>、</w:t>
      </w:r>
      <w:r>
        <w:rPr>
          <w:rFonts w:hint="eastAsia" w:cs="Times New Roman" w:eastAsiaTheme="minorEastAsia"/>
          <w:bCs/>
          <w:color w:val="auto"/>
          <w:sz w:val="24"/>
          <w:szCs w:val="28"/>
          <w:lang w:eastAsia="zh-CN"/>
        </w:rPr>
        <w:t>前置放大器、线性放大器、多道脉冲幅度分析器、能谱分析处理软件及配套组件</w:t>
      </w:r>
      <w:r>
        <w:rPr>
          <w:rFonts w:hint="eastAsia" w:ascii="Times New Roman" w:hAnsi="Times New Roman" w:cs="Times New Roman" w:eastAsiaTheme="minorEastAsia"/>
          <w:bCs/>
          <w:color w:val="auto"/>
          <w:sz w:val="24"/>
          <w:szCs w:val="28"/>
          <w:lang w:eastAsia="zh-CN"/>
        </w:rPr>
        <w:t>等组成。</w:t>
      </w:r>
      <w:r>
        <w:rPr>
          <w:rFonts w:hint="eastAsia" w:cs="Times New Roman" w:eastAsiaTheme="minorEastAsia"/>
          <w:bCs/>
          <w:color w:val="auto"/>
          <w:sz w:val="24"/>
          <w:szCs w:val="28"/>
          <w:lang w:eastAsia="zh-CN"/>
        </w:rPr>
        <w:t>计数型测量仪也称作甲状腺功能测定仪，一般由闪烁体、光电倍增管、</w:t>
      </w:r>
      <w:r>
        <w:rPr>
          <w:rFonts w:hint="eastAsia" w:ascii="Times New Roman" w:hAnsi="Times New Roman" w:cs="Times New Roman" w:eastAsiaTheme="minorEastAsia"/>
          <w:bCs/>
          <w:color w:val="auto"/>
          <w:sz w:val="24"/>
          <w:szCs w:val="28"/>
          <w:lang w:eastAsia="zh-CN"/>
        </w:rPr>
        <w:t>铅屏蔽</w:t>
      </w:r>
      <w:r>
        <w:rPr>
          <w:rFonts w:hint="eastAsia" w:cs="Times New Roman" w:eastAsiaTheme="minorEastAsia"/>
          <w:bCs/>
          <w:color w:val="auto"/>
          <w:sz w:val="24"/>
          <w:szCs w:val="28"/>
          <w:lang w:eastAsia="zh-CN"/>
        </w:rPr>
        <w:t>准直器、前置放大器、定标器及配套组件等组成。</w:t>
      </w:r>
      <w:r>
        <w:rPr>
          <w:rFonts w:hint="eastAsia" w:ascii="Times New Roman" w:hAnsi="Times New Roman" w:cs="Times New Roman" w:eastAsiaTheme="minorEastAsia"/>
          <w:bCs/>
          <w:color w:val="auto"/>
          <w:sz w:val="24"/>
          <w:szCs w:val="28"/>
          <w:lang w:eastAsia="zh-CN"/>
        </w:rPr>
        <w:t>甲状腺碘测量仪</w:t>
      </w:r>
      <w:r>
        <w:rPr>
          <w:rFonts w:hint="eastAsia" w:cs="Times New Roman" w:eastAsiaTheme="minorEastAsia"/>
          <w:bCs/>
          <w:color w:val="auto"/>
          <w:sz w:val="24"/>
          <w:szCs w:val="28"/>
          <w:lang w:eastAsia="zh-CN"/>
        </w:rPr>
        <w:t>的探头是带有张角型准直器的</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闪烁体探测器，当患者颈部接近准直器时，张口刚好把甲状腺完全覆盖。</w:t>
      </w:r>
    </w:p>
    <w:p w14:paraId="36ACEEA4">
      <w:pPr>
        <w:keepNext w:val="0"/>
        <w:keepLines w:val="0"/>
        <w:pageBreakBefore w:val="0"/>
        <w:widowControl w:val="0"/>
        <w:kinsoku/>
        <w:wordWrap/>
        <w:overflowPunct/>
        <w:topLinePunct w:val="0"/>
        <w:autoSpaceDE/>
        <w:autoSpaceDN/>
        <w:bidi w:val="0"/>
        <w:adjustRightInd/>
        <w:snapToGrid/>
        <w:spacing w:line="480" w:lineRule="exact"/>
        <w:ind w:right="0" w:firstLine="480" w:firstLineChars="200"/>
        <w:textAlignment w:val="auto"/>
        <w:rPr>
          <w:rFonts w:hint="eastAsia" w:ascii="Times New Roman" w:hAnsi="Times New Roman" w:cs="Times New Roman" w:eastAsiaTheme="minorEastAsia"/>
          <w:bCs/>
          <w:color w:val="auto"/>
          <w:sz w:val="24"/>
          <w:szCs w:val="28"/>
          <w:lang w:eastAsia="zh-CN"/>
        </w:rPr>
      </w:pPr>
      <w:r>
        <w:rPr>
          <w:rFonts w:hint="eastAsia" w:cs="Times New Roman" w:eastAsiaTheme="minorEastAsia"/>
          <w:bCs/>
          <w:color w:val="auto"/>
          <w:sz w:val="24"/>
          <w:szCs w:val="28"/>
          <w:lang w:eastAsia="zh-CN"/>
        </w:rPr>
        <w:t>放射性碘衰变释放的</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射线与闪烁体相互作用产生光信号，光电倍增管将闪烁体产生的光信号转变为电信号，电信号经过前置放大器后送入多道脉冲幅度分析器或定标器中进行记录、处理。能谱型测量仪能够将采集的</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信号形成</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能谱，从而进行核素种类及活度测量，计数型测量仪不能将采集的</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信号形成</w:t>
      </w:r>
      <w:r>
        <w:rPr>
          <w:rFonts w:hint="default" w:ascii="Times New Roman" w:hAnsi="Times New Roman" w:cs="Times New Roman" w:eastAsiaTheme="minorEastAsia"/>
          <w:bCs/>
          <w:color w:val="auto"/>
          <w:sz w:val="24"/>
          <w:szCs w:val="28"/>
          <w:lang w:eastAsia="zh-CN"/>
        </w:rPr>
        <w:t>γ</w:t>
      </w:r>
      <w:r>
        <w:rPr>
          <w:rFonts w:hint="eastAsia" w:cs="Times New Roman" w:eastAsiaTheme="minorEastAsia"/>
          <w:bCs/>
          <w:color w:val="auto"/>
          <w:sz w:val="24"/>
          <w:szCs w:val="28"/>
          <w:lang w:eastAsia="zh-CN"/>
        </w:rPr>
        <w:t>能谱，仅测量总计数率。</w:t>
      </w:r>
    </w:p>
    <w:p w14:paraId="5850426B">
      <w:pPr>
        <w:keepNext w:val="0"/>
        <w:keepLines w:val="0"/>
        <w:pageBreakBefore w:val="0"/>
        <w:widowControl w:val="0"/>
        <w:kinsoku/>
        <w:wordWrap/>
        <w:overflowPunct/>
        <w:topLinePunct w:val="0"/>
        <w:autoSpaceDE/>
        <w:autoSpaceDN/>
        <w:bidi w:val="0"/>
        <w:adjustRightInd/>
        <w:snapToGrid/>
        <w:spacing w:line="480" w:lineRule="exact"/>
        <w:ind w:right="0" w:firstLine="480" w:firstLineChars="200"/>
        <w:textAlignment w:val="auto"/>
        <w:rPr>
          <w:rFonts w:hint="eastAsia" w:ascii="Times New Roman" w:hAnsi="Times New Roman" w:cs="Times New Roman" w:eastAsiaTheme="minorEastAsia"/>
          <w:bCs/>
          <w:color w:val="auto"/>
          <w:sz w:val="24"/>
          <w:szCs w:val="28"/>
          <w:lang w:eastAsia="zh-CN"/>
        </w:rPr>
      </w:pPr>
      <w:r>
        <w:rPr>
          <w:rFonts w:hint="eastAsia"/>
          <w:color w:val="auto"/>
          <w:sz w:val="24"/>
          <w:szCs w:val="24"/>
        </w:rPr>
        <w:t>甲状腺</w:t>
      </w:r>
      <w:r>
        <w:rPr>
          <w:rFonts w:hint="eastAsia"/>
          <w:color w:val="auto"/>
          <w:sz w:val="24"/>
          <w:szCs w:val="24"/>
          <w:lang w:eastAsia="zh-CN"/>
        </w:rPr>
        <w:t>碘测量仪</w:t>
      </w:r>
      <w:r>
        <w:rPr>
          <w:rFonts w:ascii="Times New Roman" w:hAnsi="Times New Roman" w:cs="Times New Roman"/>
          <w:color w:val="auto"/>
          <w:sz w:val="24"/>
          <w:szCs w:val="24"/>
        </w:rPr>
        <w:t>用于甲状腺中</w:t>
      </w:r>
      <w:r>
        <w:rPr>
          <w:rFonts w:ascii="Times New Roman" w:hAnsi="Times New Roman" w:cs="Times New Roman"/>
          <w:color w:val="auto"/>
          <w:sz w:val="24"/>
          <w:szCs w:val="24"/>
          <w:vertAlign w:val="superscript"/>
        </w:rPr>
        <w:t>131</w:t>
      </w:r>
      <w:r>
        <w:rPr>
          <w:rFonts w:hint="eastAsia" w:ascii="Times New Roman" w:hAnsi="Times New Roman" w:cs="Times New Roman"/>
          <w:color w:val="auto"/>
          <w:sz w:val="24"/>
          <w:szCs w:val="24"/>
          <w:lang w:val="en-US" w:eastAsia="zh-CN"/>
        </w:rPr>
        <w:t>I</w:t>
      </w:r>
      <w:r>
        <w:rPr>
          <w:rFonts w:hint="eastAsia" w:ascii="Times New Roman" w:hAnsi="Times New Roman" w:cs="Times New Roman"/>
          <w:color w:val="auto"/>
          <w:sz w:val="24"/>
          <w:szCs w:val="24"/>
        </w:rPr>
        <w:t>及其放射性同位素</w:t>
      </w:r>
      <w:r>
        <w:rPr>
          <w:rFonts w:hint="eastAsia" w:ascii="Times New Roman" w:hAnsi="Times New Roman" w:cs="Times New Roman"/>
          <w:color w:val="auto"/>
          <w:sz w:val="24"/>
          <w:szCs w:val="24"/>
          <w:lang w:eastAsia="zh-CN"/>
        </w:rPr>
        <w:t>（</w:t>
      </w:r>
      <w:r>
        <w:rPr>
          <w:rFonts w:hint="eastAsia" w:ascii="Times New Roman" w:hAnsi="Times New Roman" w:cs="Times New Roman" w:eastAsiaTheme="minorEastAsia"/>
          <w:bCs/>
          <w:color w:val="auto"/>
          <w:sz w:val="24"/>
          <w:szCs w:val="28"/>
          <w:vertAlign w:val="superscript"/>
          <w:lang w:eastAsia="zh-CN"/>
        </w:rPr>
        <w:t>1</w:t>
      </w:r>
      <w:r>
        <w:rPr>
          <w:rFonts w:hint="eastAsia" w:ascii="Times New Roman" w:hAnsi="Times New Roman" w:cs="Times New Roman" w:eastAsiaTheme="minorEastAsia"/>
          <w:bCs/>
          <w:color w:val="auto"/>
          <w:sz w:val="24"/>
          <w:szCs w:val="28"/>
          <w:vertAlign w:val="superscript"/>
          <w:lang w:val="en-US" w:eastAsia="zh-CN"/>
        </w:rPr>
        <w:t>32</w:t>
      </w:r>
      <w:r>
        <w:rPr>
          <w:rFonts w:hint="eastAsia" w:cs="Times New Roman" w:eastAsiaTheme="minorEastAsia"/>
          <w:bCs/>
          <w:color w:val="auto"/>
          <w:sz w:val="24"/>
          <w:szCs w:val="28"/>
          <w:lang w:val="en-US" w:eastAsia="zh-CN"/>
        </w:rPr>
        <w:t>I和</w:t>
      </w:r>
      <w:r>
        <w:rPr>
          <w:rFonts w:hint="eastAsia" w:ascii="Times New Roman" w:hAnsi="Times New Roman" w:cs="Times New Roman" w:eastAsiaTheme="minorEastAsia"/>
          <w:bCs/>
          <w:color w:val="auto"/>
          <w:sz w:val="24"/>
          <w:szCs w:val="28"/>
          <w:vertAlign w:val="superscript"/>
          <w:lang w:eastAsia="zh-CN"/>
        </w:rPr>
        <w:t>1</w:t>
      </w:r>
      <w:r>
        <w:rPr>
          <w:rFonts w:hint="eastAsia" w:cs="Times New Roman" w:eastAsiaTheme="minorEastAsia"/>
          <w:bCs/>
          <w:color w:val="auto"/>
          <w:sz w:val="24"/>
          <w:szCs w:val="28"/>
          <w:vertAlign w:val="superscript"/>
          <w:lang w:val="en-US" w:eastAsia="zh-CN"/>
        </w:rPr>
        <w:t>25</w:t>
      </w:r>
      <w:r>
        <w:rPr>
          <w:rFonts w:hint="eastAsia" w:cs="Times New Roman" w:eastAsiaTheme="minorEastAsia"/>
          <w:bCs/>
          <w:color w:val="auto"/>
          <w:sz w:val="24"/>
          <w:szCs w:val="28"/>
          <w:lang w:val="en-US" w:eastAsia="zh-CN"/>
        </w:rPr>
        <w:t>I</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的</w:t>
      </w:r>
      <w:r>
        <w:rPr>
          <w:rFonts w:ascii="Times New Roman" w:hAnsi="Times New Roman" w:cs="Times New Roman"/>
          <w:color w:val="auto"/>
          <w:sz w:val="24"/>
          <w:szCs w:val="24"/>
        </w:rPr>
        <w:t>核素活度</w:t>
      </w:r>
      <w:r>
        <w:rPr>
          <w:rFonts w:hint="eastAsia" w:cs="Times New Roman"/>
          <w:color w:val="auto"/>
          <w:sz w:val="24"/>
          <w:szCs w:val="24"/>
          <w:lang w:eastAsia="zh-CN"/>
        </w:rPr>
        <w:t>、</w:t>
      </w:r>
      <w:r>
        <w:rPr>
          <w:rFonts w:ascii="Times New Roman" w:hAnsi="Times New Roman" w:cs="Times New Roman"/>
          <w:color w:val="auto"/>
          <w:sz w:val="24"/>
          <w:szCs w:val="24"/>
        </w:rPr>
        <w:t>内照射剂量</w:t>
      </w:r>
      <w:r>
        <w:rPr>
          <w:rFonts w:hint="eastAsia" w:cs="Times New Roman"/>
          <w:color w:val="auto"/>
          <w:sz w:val="24"/>
          <w:szCs w:val="24"/>
          <w:lang w:eastAsia="zh-CN"/>
        </w:rPr>
        <w:t>及摄碘率等的</w:t>
      </w:r>
      <w:r>
        <w:rPr>
          <w:rFonts w:ascii="Times New Roman" w:hAnsi="Times New Roman" w:cs="Times New Roman"/>
          <w:color w:val="auto"/>
          <w:sz w:val="24"/>
          <w:szCs w:val="24"/>
        </w:rPr>
        <w:t>测量</w:t>
      </w:r>
      <w:r>
        <w:rPr>
          <w:rFonts w:hint="eastAsia" w:cs="Times New Roman"/>
          <w:color w:val="auto"/>
          <w:sz w:val="24"/>
          <w:szCs w:val="24"/>
          <w:lang w:eastAsia="zh-CN"/>
        </w:rPr>
        <w:t>，</w:t>
      </w:r>
      <w:r>
        <w:rPr>
          <w:rFonts w:hint="eastAsia" w:cs="Times New Roman" w:eastAsiaTheme="minorEastAsia"/>
          <w:bCs/>
          <w:color w:val="auto"/>
          <w:sz w:val="24"/>
          <w:szCs w:val="28"/>
          <w:lang w:eastAsia="zh-CN"/>
        </w:rPr>
        <w:t>广泛应用于核医学诊疗、核事故应急检测、职业健康监测等领域</w:t>
      </w:r>
      <w:r>
        <w:rPr>
          <w:rFonts w:hint="eastAsia" w:ascii="Times New Roman" w:hAnsi="Times New Roman" w:cs="Times New Roman" w:eastAsiaTheme="minorEastAsia"/>
          <w:bCs/>
          <w:color w:val="auto"/>
          <w:sz w:val="24"/>
          <w:szCs w:val="28"/>
          <w:lang w:eastAsia="zh-CN"/>
        </w:rPr>
        <w:t>。</w:t>
      </w:r>
    </w:p>
    <w:p w14:paraId="6680E18B">
      <w:pPr>
        <w:pStyle w:val="2"/>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rPr>
      </w:pPr>
      <w:bookmarkStart w:id="32" w:name="_Toc9873"/>
      <w:bookmarkStart w:id="33" w:name="_Toc13380"/>
      <w:bookmarkStart w:id="34" w:name="_Toc7038"/>
      <w:r>
        <w:rPr>
          <w:rFonts w:hint="eastAsia"/>
        </w:rPr>
        <w:t>5  计量特性</w:t>
      </w:r>
      <w:bookmarkEnd w:id="32"/>
      <w:bookmarkEnd w:id="33"/>
      <w:bookmarkEnd w:id="34"/>
    </w:p>
    <w:p w14:paraId="4B4D28AF">
      <w:pPr>
        <w:pStyle w:val="4"/>
        <w:pageBreakBefore w:val="0"/>
        <w:kinsoku/>
        <w:wordWrap/>
        <w:overflowPunct/>
        <w:topLinePunct w:val="0"/>
        <w:bidi w:val="0"/>
        <w:snapToGrid/>
        <w:spacing w:line="480" w:lineRule="exact"/>
        <w:textAlignment w:val="auto"/>
        <w:rPr>
          <w:rFonts w:hint="eastAsia" w:eastAsia="宋体"/>
          <w:lang w:eastAsia="zh-CN"/>
        </w:rPr>
      </w:pPr>
      <w:bookmarkStart w:id="35" w:name="_Toc29960"/>
      <w:bookmarkStart w:id="36" w:name="_Toc13055"/>
      <w:r>
        <w:t>5.</w:t>
      </w:r>
      <w:r>
        <w:rPr>
          <w:rFonts w:hint="eastAsia"/>
          <w:lang w:eastAsia="zh-CN"/>
        </w:rPr>
        <w:t>1</w:t>
      </w:r>
      <w:r>
        <w:t xml:space="preserve">  </w:t>
      </w:r>
      <w:bookmarkEnd w:id="35"/>
      <w:r>
        <w:rPr>
          <w:rFonts w:hint="eastAsia"/>
          <w:lang w:eastAsia="zh-CN"/>
        </w:rPr>
        <w:t>本底计数率</w:t>
      </w:r>
      <w:bookmarkEnd w:id="36"/>
    </w:p>
    <w:p w14:paraId="3D65943D">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kern w:val="0"/>
        </w:rPr>
      </w:pPr>
      <w:r>
        <w:rPr>
          <w:rFonts w:hint="eastAsia"/>
          <w:kern w:val="0"/>
          <w:lang w:eastAsia="zh-CN"/>
        </w:rPr>
        <w:t>本底计数率不大于</w:t>
      </w:r>
      <w:r>
        <w:rPr>
          <w:rFonts w:hint="eastAsia"/>
          <w:kern w:val="0"/>
          <w:lang w:val="en-US" w:eastAsia="zh-CN"/>
        </w:rPr>
        <w:t>100 s</w:t>
      </w:r>
      <w:r>
        <w:rPr>
          <w:rFonts w:hint="eastAsia"/>
          <w:kern w:val="0"/>
          <w:vertAlign w:val="superscript"/>
          <w:lang w:val="en-US" w:eastAsia="zh-CN"/>
        </w:rPr>
        <w:t>-1</w:t>
      </w:r>
      <w:r>
        <w:rPr>
          <w:kern w:val="0"/>
        </w:rPr>
        <w:t>。</w:t>
      </w:r>
    </w:p>
    <w:p w14:paraId="3918E914">
      <w:pPr>
        <w:pStyle w:val="4"/>
        <w:pageBreakBefore w:val="0"/>
        <w:kinsoku/>
        <w:wordWrap/>
        <w:overflowPunct/>
        <w:topLinePunct w:val="0"/>
        <w:bidi w:val="0"/>
        <w:snapToGrid/>
        <w:spacing w:line="480" w:lineRule="exact"/>
        <w:textAlignment w:val="auto"/>
        <w:rPr>
          <w:rFonts w:hint="eastAsia" w:eastAsia="宋体"/>
          <w:lang w:eastAsia="zh-CN"/>
        </w:rPr>
      </w:pPr>
      <w:bookmarkStart w:id="37" w:name="_Toc20495"/>
      <w:r>
        <w:t>5.</w:t>
      </w:r>
      <w:r>
        <w:rPr>
          <w:rFonts w:hint="eastAsia"/>
          <w:lang w:val="en-US" w:eastAsia="zh-CN"/>
        </w:rPr>
        <w:t>2</w:t>
      </w:r>
      <w:r>
        <w:t xml:space="preserve">  </w:t>
      </w:r>
      <w:r>
        <w:rPr>
          <w:rFonts w:hint="eastAsia"/>
          <w:lang w:eastAsia="zh-CN"/>
        </w:rPr>
        <w:t>本底稳定性</w:t>
      </w:r>
      <w:bookmarkEnd w:id="37"/>
    </w:p>
    <w:p w14:paraId="65809F68">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kern w:val="0"/>
        </w:rPr>
      </w:pPr>
      <w:r>
        <w:rPr>
          <w:rFonts w:hint="eastAsia"/>
          <w:kern w:val="0"/>
          <w:lang w:eastAsia="zh-CN"/>
        </w:rPr>
        <w:t>本底稳定性不大于</w:t>
      </w:r>
      <w:r>
        <w:rPr>
          <w:rFonts w:hint="eastAsia"/>
          <w:kern w:val="0"/>
          <w:lang w:val="en-US" w:eastAsia="zh-CN"/>
        </w:rPr>
        <w:t>2.0%</w:t>
      </w:r>
      <w:r>
        <w:rPr>
          <w:kern w:val="0"/>
        </w:rPr>
        <w:t>。</w:t>
      </w:r>
    </w:p>
    <w:p w14:paraId="3BAB037E">
      <w:pPr>
        <w:pStyle w:val="4"/>
        <w:pageBreakBefore w:val="0"/>
        <w:kinsoku/>
        <w:wordWrap/>
        <w:overflowPunct/>
        <w:topLinePunct w:val="0"/>
        <w:bidi w:val="0"/>
        <w:snapToGrid/>
        <w:spacing w:line="480" w:lineRule="exact"/>
        <w:textAlignment w:val="auto"/>
        <w:rPr>
          <w:rFonts w:hint="eastAsia" w:eastAsia="宋体"/>
          <w:lang w:eastAsia="zh-CN"/>
        </w:rPr>
      </w:pPr>
      <w:bookmarkStart w:id="38" w:name="_Toc5264"/>
      <w:bookmarkStart w:id="39" w:name="_Toc3727"/>
      <w:r>
        <w:t>5.</w:t>
      </w:r>
      <w:r>
        <w:rPr>
          <w:rFonts w:hint="eastAsia"/>
          <w:lang w:val="en-US" w:eastAsia="zh-CN"/>
        </w:rPr>
        <w:t>3</w:t>
      </w:r>
      <w:r>
        <w:t xml:space="preserve">  </w:t>
      </w:r>
      <w:bookmarkEnd w:id="38"/>
      <w:r>
        <w:rPr>
          <w:rFonts w:hint="eastAsia"/>
          <w:lang w:eastAsia="zh-CN"/>
        </w:rPr>
        <w:t>能量分辨力</w:t>
      </w:r>
      <w:bookmarkEnd w:id="39"/>
    </w:p>
    <w:p w14:paraId="2DA12FD0">
      <w:pPr>
        <w:keepNext w:val="0"/>
        <w:keepLines w:val="0"/>
        <w:pageBreakBefore w:val="0"/>
        <w:widowControl/>
        <w:kinsoku/>
        <w:wordWrap/>
        <w:overflowPunct/>
        <w:topLinePunct w:val="0"/>
        <w:bidi w:val="0"/>
        <w:snapToGrid/>
        <w:spacing w:line="480" w:lineRule="exact"/>
        <w:ind w:firstLine="480" w:firstLineChars="200"/>
        <w:jc w:val="both"/>
        <w:textAlignment w:val="auto"/>
        <w:rPr>
          <w:kern w:val="0"/>
        </w:rPr>
      </w:pPr>
      <w:r>
        <w:rPr>
          <w:rFonts w:hint="eastAsia"/>
          <w:kern w:val="0"/>
          <w:lang w:eastAsia="zh-CN"/>
        </w:rPr>
        <w:t>对</w:t>
      </w:r>
      <w:r>
        <w:rPr>
          <w:rFonts w:hint="eastAsia"/>
          <w:kern w:val="0"/>
          <w:vertAlign w:val="superscript"/>
          <w:lang w:val="en-US" w:eastAsia="zh-CN"/>
        </w:rPr>
        <w:t>137</w:t>
      </w:r>
      <w:r>
        <w:rPr>
          <w:rFonts w:hint="eastAsia"/>
          <w:kern w:val="0"/>
          <w:lang w:val="en-US" w:eastAsia="zh-CN"/>
        </w:rPr>
        <w:t>Cs的661.7 keV特征</w:t>
      </w:r>
      <w:r>
        <w:rPr>
          <w:rFonts w:hint="default" w:ascii="Times New Roman" w:hAnsi="Times New Roman" w:cs="Times New Roman"/>
          <w:kern w:val="0"/>
          <w:lang w:val="en-US" w:eastAsia="zh-CN"/>
        </w:rPr>
        <w:t>γ</w:t>
      </w:r>
      <w:r>
        <w:rPr>
          <w:rFonts w:hint="eastAsia"/>
          <w:kern w:val="0"/>
          <w:lang w:val="en-US" w:eastAsia="zh-CN"/>
        </w:rPr>
        <w:t>射线的能量分辨力</w:t>
      </w:r>
      <w:r>
        <w:rPr>
          <w:kern w:val="0"/>
        </w:rPr>
        <w:t>不大于</w:t>
      </w:r>
      <w:r>
        <w:rPr>
          <w:rFonts w:hint="eastAsia"/>
          <w:kern w:val="0"/>
          <w:lang w:val="en-US" w:eastAsia="zh-CN"/>
        </w:rPr>
        <w:t>9</w:t>
      </w:r>
      <w:r>
        <w:rPr>
          <w:kern w:val="0"/>
        </w:rPr>
        <w:t>%。</w:t>
      </w:r>
    </w:p>
    <w:p w14:paraId="50541104">
      <w:pPr>
        <w:pStyle w:val="4"/>
        <w:pageBreakBefore w:val="0"/>
        <w:kinsoku/>
        <w:wordWrap/>
        <w:overflowPunct/>
        <w:topLinePunct w:val="0"/>
        <w:bidi w:val="0"/>
        <w:snapToGrid/>
        <w:spacing w:line="480" w:lineRule="exact"/>
        <w:textAlignment w:val="auto"/>
      </w:pPr>
      <w:bookmarkStart w:id="40" w:name="_Toc17252"/>
      <w:bookmarkStart w:id="41" w:name="_Toc1051"/>
      <w:bookmarkStart w:id="42" w:name="_Toc4272"/>
      <w:r>
        <w:t>5.</w:t>
      </w:r>
      <w:r>
        <w:rPr>
          <w:rFonts w:hint="eastAsia"/>
          <w:lang w:val="en-US" w:eastAsia="zh-CN"/>
        </w:rPr>
        <w:t>4</w:t>
      </w:r>
      <w:r>
        <w:t xml:space="preserve">  </w:t>
      </w:r>
      <w:bookmarkEnd w:id="40"/>
      <w:bookmarkEnd w:id="41"/>
      <w:r>
        <w:rPr>
          <w:rFonts w:hint="eastAsia"/>
          <w:lang w:eastAsia="zh-CN"/>
        </w:rPr>
        <w:t>活度响应</w:t>
      </w:r>
      <w:r>
        <w:rPr>
          <w:rFonts w:hint="eastAsia" w:ascii="宋体" w:hAnsi="宋体" w:eastAsia="宋体" w:cs="宋体"/>
          <w:lang w:val="en-US" w:eastAsia="zh-CN"/>
        </w:rPr>
        <w:t>/</w:t>
      </w:r>
      <w:r>
        <w:rPr>
          <w:rFonts w:hint="eastAsia"/>
          <w:lang w:eastAsia="zh-CN"/>
        </w:rPr>
        <w:t>示值误差</w:t>
      </w:r>
      <w:bookmarkEnd w:id="42"/>
    </w:p>
    <w:p w14:paraId="77874201">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kern w:val="0"/>
        </w:rPr>
      </w:pPr>
      <w:r>
        <w:rPr>
          <w:rFonts w:hint="eastAsia"/>
          <w:kern w:val="0"/>
          <w:lang w:eastAsia="zh-CN"/>
        </w:rPr>
        <w:t>活度示值误差不超过</w:t>
      </w:r>
      <w:r>
        <w:rPr>
          <w:rFonts w:hint="eastAsia" w:ascii="Times New Roman" w:eastAsia="宋体"/>
          <w:kern w:val="0"/>
          <w:lang w:val="en-US" w:eastAsia="zh-CN"/>
        </w:rPr>
        <w:t>±</w:t>
      </w:r>
      <w:r>
        <w:rPr>
          <w:rFonts w:hint="eastAsia"/>
          <w:kern w:val="0"/>
          <w:lang w:val="en-US" w:eastAsia="zh-CN"/>
        </w:rPr>
        <w:t>20%</w:t>
      </w:r>
      <w:r>
        <w:rPr>
          <w:kern w:val="0"/>
        </w:rPr>
        <w:t>。</w:t>
      </w:r>
    </w:p>
    <w:p w14:paraId="0D411614">
      <w:pPr>
        <w:pStyle w:val="4"/>
        <w:pageBreakBefore w:val="0"/>
        <w:kinsoku/>
        <w:wordWrap/>
        <w:overflowPunct/>
        <w:topLinePunct w:val="0"/>
        <w:bidi w:val="0"/>
        <w:snapToGrid/>
        <w:spacing w:line="480" w:lineRule="exact"/>
        <w:textAlignment w:val="auto"/>
      </w:pPr>
      <w:bookmarkStart w:id="43" w:name="_Toc5471"/>
      <w:r>
        <w:t>5.</w:t>
      </w:r>
      <w:r>
        <w:rPr>
          <w:rFonts w:hint="eastAsia"/>
          <w:lang w:val="en-US" w:eastAsia="zh-CN"/>
        </w:rPr>
        <w:t>5</w:t>
      </w:r>
      <w:r>
        <w:t xml:space="preserve">  </w:t>
      </w:r>
      <w:r>
        <w:rPr>
          <w:rFonts w:hint="eastAsia"/>
          <w:lang w:eastAsia="zh-CN"/>
        </w:rPr>
        <w:t>重复性</w:t>
      </w:r>
      <w:bookmarkEnd w:id="43"/>
    </w:p>
    <w:p w14:paraId="58BECF66">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kern w:val="0"/>
        </w:rPr>
      </w:pPr>
      <w:r>
        <w:rPr>
          <w:rFonts w:hint="eastAsia"/>
          <w:kern w:val="0"/>
          <w:lang w:eastAsia="zh-CN"/>
        </w:rPr>
        <w:t>重复性不大于</w:t>
      </w:r>
      <w:r>
        <w:rPr>
          <w:rFonts w:hint="eastAsia"/>
          <w:kern w:val="0"/>
          <w:lang w:val="en-US" w:eastAsia="zh-CN"/>
        </w:rPr>
        <w:t>10%</w:t>
      </w:r>
      <w:r>
        <w:rPr>
          <w:kern w:val="0"/>
        </w:rPr>
        <w:t>。</w:t>
      </w:r>
    </w:p>
    <w:p w14:paraId="3D1BE71E">
      <w:pPr>
        <w:keepNext w:val="0"/>
        <w:keepLines w:val="0"/>
        <w:pageBreakBefore w:val="0"/>
        <w:widowControl/>
        <w:kinsoku/>
        <w:wordWrap/>
        <w:overflowPunct/>
        <w:topLinePunct w:val="0"/>
        <w:autoSpaceDE w:val="0"/>
        <w:autoSpaceDN w:val="0"/>
        <w:bidi w:val="0"/>
        <w:adjustRightInd w:val="0"/>
        <w:snapToGrid/>
        <w:spacing w:line="480" w:lineRule="exact"/>
        <w:ind w:firstLine="462" w:firstLineChars="220"/>
        <w:jc w:val="left"/>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注：以上指标不用于合格性判定，仅供参考。</w:t>
      </w:r>
    </w:p>
    <w:p w14:paraId="193B6FED">
      <w:pPr>
        <w:pStyle w:val="2"/>
        <w:keepNext w:val="0"/>
        <w:keepLines w:val="0"/>
        <w:pageBreakBefore w:val="0"/>
        <w:widowControl w:val="0"/>
        <w:kinsoku/>
        <w:wordWrap/>
        <w:overflowPunct/>
        <w:topLinePunct w:val="0"/>
        <w:autoSpaceDE/>
        <w:autoSpaceDN/>
        <w:bidi w:val="0"/>
        <w:adjustRightInd/>
        <w:snapToGrid/>
        <w:spacing w:before="148" w:beforeLines="50" w:after="148" w:afterLines="50" w:line="480" w:lineRule="exact"/>
        <w:textAlignment w:val="auto"/>
        <w:rPr>
          <w:rFonts w:hint="eastAsia"/>
        </w:rPr>
      </w:pPr>
      <w:bookmarkStart w:id="44" w:name="_Toc23527"/>
      <w:bookmarkStart w:id="45" w:name="_Toc23123"/>
      <w:bookmarkStart w:id="46" w:name="_Toc25382"/>
      <w:r>
        <w:rPr>
          <w:rFonts w:hint="eastAsia"/>
        </w:rPr>
        <w:t>6  校准条件</w:t>
      </w:r>
      <w:bookmarkEnd w:id="44"/>
      <w:bookmarkEnd w:id="45"/>
      <w:bookmarkEnd w:id="46"/>
    </w:p>
    <w:p w14:paraId="4A06446F">
      <w:pPr>
        <w:pStyle w:val="4"/>
        <w:pageBreakBefore w:val="0"/>
        <w:kinsoku/>
        <w:wordWrap/>
        <w:overflowPunct/>
        <w:topLinePunct w:val="0"/>
        <w:bidi w:val="0"/>
        <w:snapToGrid/>
        <w:spacing w:line="480" w:lineRule="exact"/>
        <w:textAlignment w:val="auto"/>
      </w:pPr>
      <w:bookmarkStart w:id="47" w:name="_Toc11095"/>
      <w:bookmarkStart w:id="48" w:name="_Toc30176"/>
      <w:r>
        <w:t>6.1  环境条件</w:t>
      </w:r>
      <w:bookmarkEnd w:id="47"/>
      <w:bookmarkEnd w:id="48"/>
    </w:p>
    <w:p w14:paraId="1C4B0405">
      <w:pPr>
        <w:keepNext w:val="0"/>
        <w:keepLines w:val="0"/>
        <w:pageBreakBefore w:val="0"/>
        <w:kinsoku/>
        <w:wordWrap/>
        <w:overflowPunct/>
        <w:topLinePunct w:val="0"/>
        <w:bidi w:val="0"/>
        <w:snapToGrid/>
        <w:spacing w:line="480" w:lineRule="exact"/>
        <w:ind w:left="0" w:leftChars="0" w:firstLine="0" w:firstLineChars="0"/>
        <w:textAlignment w:val="auto"/>
        <w:rPr>
          <w:rFonts w:hint="eastAsia"/>
          <w:sz w:val="24"/>
        </w:rPr>
      </w:pPr>
      <w:bookmarkStart w:id="49" w:name="_Toc14638"/>
      <w:r>
        <w:rPr>
          <w:sz w:val="24"/>
        </w:rPr>
        <w:t>6.1.1  温度：（15~35）℃</w:t>
      </w:r>
      <w:r>
        <w:rPr>
          <w:rFonts w:hint="eastAsia"/>
          <w:sz w:val="24"/>
        </w:rPr>
        <w:t>。</w:t>
      </w:r>
      <w:bookmarkEnd w:id="49"/>
    </w:p>
    <w:p w14:paraId="424DA63D">
      <w:pPr>
        <w:keepNext w:val="0"/>
        <w:keepLines w:val="0"/>
        <w:pageBreakBefore w:val="0"/>
        <w:kinsoku/>
        <w:wordWrap/>
        <w:overflowPunct/>
        <w:topLinePunct w:val="0"/>
        <w:bidi w:val="0"/>
        <w:snapToGrid/>
        <w:spacing w:line="480" w:lineRule="exact"/>
        <w:ind w:left="0" w:leftChars="0" w:firstLine="0" w:firstLineChars="0"/>
        <w:textAlignment w:val="auto"/>
        <w:rPr>
          <w:sz w:val="24"/>
        </w:rPr>
      </w:pPr>
      <w:bookmarkStart w:id="50" w:name="_Toc26078"/>
      <w:r>
        <w:rPr>
          <w:sz w:val="24"/>
        </w:rPr>
        <w:t>6.1.2  相对湿度：</w:t>
      </w:r>
      <w:r>
        <w:rPr>
          <w:rFonts w:hint="eastAsia" w:ascii="宋体" w:hAnsi="宋体" w:eastAsia="宋体" w:cs="宋体"/>
          <w:sz w:val="24"/>
          <w:lang w:eastAsia="zh-CN"/>
        </w:rPr>
        <w:t>≤</w:t>
      </w:r>
      <w:r>
        <w:rPr>
          <w:sz w:val="24"/>
        </w:rPr>
        <w:t>80</w:t>
      </w:r>
      <w:r>
        <w:rPr>
          <w:kern w:val="0"/>
        </w:rPr>
        <w:t>%</w:t>
      </w:r>
      <w:r>
        <w:rPr>
          <w:sz w:val="24"/>
        </w:rPr>
        <w:t>。</w:t>
      </w:r>
      <w:bookmarkEnd w:id="50"/>
    </w:p>
    <w:p w14:paraId="1BF874BA">
      <w:pPr>
        <w:keepNext w:val="0"/>
        <w:keepLines w:val="0"/>
        <w:pageBreakBefore w:val="0"/>
        <w:kinsoku/>
        <w:wordWrap/>
        <w:overflowPunct/>
        <w:topLinePunct w:val="0"/>
        <w:bidi w:val="0"/>
        <w:snapToGrid/>
        <w:spacing w:line="480" w:lineRule="exact"/>
        <w:ind w:left="0" w:leftChars="0" w:firstLine="0" w:firstLineChars="0"/>
        <w:textAlignment w:val="auto"/>
        <w:rPr>
          <w:sz w:val="24"/>
        </w:rPr>
      </w:pPr>
      <w:bookmarkStart w:id="51" w:name="_Toc9646"/>
      <w:r>
        <w:rPr>
          <w:sz w:val="24"/>
        </w:rPr>
        <w:t>6.1.</w:t>
      </w:r>
      <w:r>
        <w:rPr>
          <w:rFonts w:hint="eastAsia"/>
          <w:sz w:val="24"/>
          <w:lang w:val="en-US" w:eastAsia="zh-CN"/>
        </w:rPr>
        <w:t>3</w:t>
      </w:r>
      <w:r>
        <w:rPr>
          <w:sz w:val="24"/>
        </w:rPr>
        <w:t xml:space="preserve">  </w:t>
      </w:r>
      <w:r>
        <w:rPr>
          <w:rFonts w:hint="eastAsia"/>
          <w:sz w:val="24"/>
          <w:lang w:eastAsia="zh-CN"/>
        </w:rPr>
        <w:t>校准环境中</w:t>
      </w:r>
      <w:r>
        <w:rPr>
          <w:sz w:val="24"/>
        </w:rPr>
        <w:t>无明显影响校准工作的机械振动</w:t>
      </w:r>
      <w:r>
        <w:rPr>
          <w:rFonts w:hint="eastAsia"/>
          <w:sz w:val="24"/>
          <w:lang w:eastAsia="zh-CN"/>
        </w:rPr>
        <w:t>、电磁干扰</w:t>
      </w:r>
      <w:r>
        <w:rPr>
          <w:sz w:val="24"/>
        </w:rPr>
        <w:t>。</w:t>
      </w:r>
      <w:bookmarkEnd w:id="51"/>
    </w:p>
    <w:p w14:paraId="07B4D6DF">
      <w:pPr>
        <w:keepNext w:val="0"/>
        <w:keepLines w:val="0"/>
        <w:pageBreakBefore w:val="0"/>
        <w:kinsoku/>
        <w:wordWrap/>
        <w:overflowPunct/>
        <w:topLinePunct w:val="0"/>
        <w:bidi w:val="0"/>
        <w:snapToGrid/>
        <w:spacing w:line="480" w:lineRule="exact"/>
        <w:ind w:left="0" w:leftChars="0" w:firstLine="0" w:firstLineChars="0"/>
        <w:textAlignment w:val="auto"/>
        <w:rPr>
          <w:rFonts w:hint="default" w:eastAsia="宋体"/>
          <w:sz w:val="24"/>
          <w:lang w:val="en-US" w:eastAsia="zh-CN"/>
        </w:rPr>
      </w:pPr>
      <w:r>
        <w:rPr>
          <w:rFonts w:hint="eastAsia"/>
          <w:sz w:val="24"/>
          <w:lang w:val="en-US" w:eastAsia="zh-CN"/>
        </w:rPr>
        <w:t>6.1.4  校准环境中不得有干扰测量的其它放射源。</w:t>
      </w:r>
    </w:p>
    <w:p w14:paraId="61666062">
      <w:pPr>
        <w:pStyle w:val="4"/>
        <w:pageBreakBefore w:val="0"/>
        <w:kinsoku/>
        <w:wordWrap/>
        <w:overflowPunct/>
        <w:topLinePunct w:val="0"/>
        <w:bidi w:val="0"/>
        <w:snapToGrid/>
        <w:spacing w:line="480" w:lineRule="exact"/>
        <w:textAlignment w:val="auto"/>
      </w:pPr>
      <w:bookmarkStart w:id="52" w:name="_Toc31149"/>
      <w:r>
        <w:t xml:space="preserve">6.2  </w:t>
      </w:r>
      <w:r>
        <w:rPr>
          <w:rFonts w:hint="eastAsia"/>
        </w:rPr>
        <w:t>测量标准及其他设备</w:t>
      </w:r>
      <w:bookmarkEnd w:id="52"/>
    </w:p>
    <w:p w14:paraId="42AFFC47">
      <w:pPr>
        <w:keepNext w:val="0"/>
        <w:keepLines w:val="0"/>
        <w:pageBreakBefore w:val="0"/>
        <w:kinsoku/>
        <w:wordWrap/>
        <w:overflowPunct/>
        <w:topLinePunct w:val="0"/>
        <w:bidi w:val="0"/>
        <w:snapToGrid/>
        <w:spacing w:line="480" w:lineRule="exact"/>
        <w:ind w:left="0" w:leftChars="0" w:firstLine="0" w:firstLineChars="0"/>
        <w:textAlignment w:val="auto"/>
        <w:rPr>
          <w:rFonts w:hint="eastAsia"/>
          <w:sz w:val="24"/>
          <w:lang w:eastAsia="zh-CN"/>
        </w:rPr>
      </w:pPr>
      <w:r>
        <w:rPr>
          <w:sz w:val="24"/>
        </w:rPr>
        <w:t>6.</w:t>
      </w:r>
      <w:r>
        <w:rPr>
          <w:rFonts w:hint="eastAsia"/>
          <w:sz w:val="24"/>
          <w:lang w:val="en-US" w:eastAsia="zh-CN"/>
        </w:rPr>
        <w:t>2.1</w:t>
      </w:r>
      <w:r>
        <w:rPr>
          <w:sz w:val="24"/>
        </w:rPr>
        <w:t xml:space="preserve">  </w:t>
      </w:r>
      <w:r>
        <w:rPr>
          <w:rFonts w:hint="default" w:ascii="Times New Roman" w:hAnsi="Times New Roman" w:cs="Times New Roman"/>
          <w:sz w:val="24"/>
          <w:lang w:eastAsia="zh-CN"/>
        </w:rPr>
        <w:t>γ</w:t>
      </w:r>
      <w:r>
        <w:rPr>
          <w:rFonts w:hint="eastAsia"/>
          <w:sz w:val="24"/>
          <w:lang w:eastAsia="zh-CN"/>
        </w:rPr>
        <w:t>射线点参考源</w:t>
      </w:r>
    </w:p>
    <w:p w14:paraId="40A7E26A">
      <w:pPr>
        <w:pageBreakBefore w:val="0"/>
        <w:kinsoku/>
        <w:wordWrap/>
        <w:overflowPunct/>
        <w:topLinePunct w:val="0"/>
        <w:bidi w:val="0"/>
        <w:snapToGrid/>
        <w:spacing w:line="480" w:lineRule="exact"/>
        <w:textAlignment w:val="auto"/>
        <w:rPr>
          <w:rFonts w:hint="default"/>
          <w:lang w:val="en-US" w:eastAsia="zh-CN"/>
        </w:rPr>
      </w:pPr>
      <w:r>
        <w:rPr>
          <w:rFonts w:hint="eastAsia"/>
          <w:vertAlign w:val="superscript"/>
          <w:lang w:val="en-US" w:eastAsia="zh-CN"/>
        </w:rPr>
        <w:t>137</w:t>
      </w:r>
      <w:r>
        <w:rPr>
          <w:rFonts w:hint="eastAsia"/>
          <w:lang w:val="en-US" w:eastAsia="zh-CN"/>
        </w:rPr>
        <w:t>Cs点参考源，活度范围为（10</w:t>
      </w:r>
      <w:r>
        <w:rPr>
          <w:rFonts w:hint="eastAsia"/>
          <w:vertAlign w:val="superscript"/>
          <w:lang w:val="en-US" w:eastAsia="zh-CN"/>
        </w:rPr>
        <w:t>3</w:t>
      </w:r>
      <w:r>
        <w:rPr>
          <w:rFonts w:hint="eastAsia"/>
          <w:lang w:val="en-US" w:eastAsia="zh-CN"/>
        </w:rPr>
        <w:t>~10</w:t>
      </w:r>
      <w:r>
        <w:rPr>
          <w:rFonts w:hint="eastAsia"/>
          <w:vertAlign w:val="superscript"/>
          <w:lang w:val="en-US" w:eastAsia="zh-CN"/>
        </w:rPr>
        <w:t>5</w:t>
      </w:r>
      <w:r>
        <w:rPr>
          <w:rFonts w:hint="eastAsia"/>
          <w:lang w:val="en-US" w:eastAsia="zh-CN"/>
        </w:rPr>
        <w:t>）Bq，相对扩展不确定度</w:t>
      </w:r>
      <w:r>
        <w:rPr>
          <w:rFonts w:ascii="Times New Roman" w:hAnsi="Times New Roman"/>
          <w:i/>
          <w:color w:val="000000" w:themeColor="text1"/>
          <w:sz w:val="24"/>
          <w:szCs w:val="24"/>
          <w14:textFill>
            <w14:solidFill>
              <w14:schemeClr w14:val="tx1"/>
            </w14:solidFill>
          </w14:textFill>
        </w:rPr>
        <w:t>U</w:t>
      </w:r>
      <w:r>
        <w:rPr>
          <w:rFonts w:ascii="Times New Roman" w:hAnsi="Times New Roman"/>
          <w:color w:val="000000" w:themeColor="text1"/>
          <w:sz w:val="24"/>
          <w:szCs w:val="24"/>
          <w:vertAlign w:val="subscript"/>
          <w14:textFill>
            <w14:solidFill>
              <w14:schemeClr w14:val="tx1"/>
            </w14:solidFill>
          </w14:textFill>
        </w:rPr>
        <w:t>rel</w:t>
      </w:r>
      <w:r>
        <w:rPr>
          <w:rFonts w:hint="eastAsia" w:ascii="宋体" w:hAnsi="宋体" w:eastAsia="宋体" w:cs="宋体"/>
          <w:color w:val="000000" w:themeColor="text1"/>
          <w:sz w:val="24"/>
          <w:szCs w:val="24"/>
          <w14:textFill>
            <w14:solidFill>
              <w14:schemeClr w14:val="tx1"/>
            </w14:solidFill>
          </w14:textFill>
        </w:rPr>
        <w:t>≤</w:t>
      </w:r>
      <w:r>
        <w:rPr>
          <w:rFonts w:hint="eastAsia"/>
          <w:lang w:val="en-US" w:eastAsia="zh-CN"/>
        </w:rPr>
        <w:t>5%（</w:t>
      </w:r>
      <w:r>
        <w:rPr>
          <w:rFonts w:hint="eastAsia"/>
          <w:i/>
          <w:iCs/>
          <w:lang w:val="en-US" w:eastAsia="zh-CN"/>
        </w:rPr>
        <w:t>k</w:t>
      </w:r>
      <w:r>
        <w:rPr>
          <w:rFonts w:hint="eastAsia"/>
          <w:lang w:val="en-US" w:eastAsia="zh-CN"/>
        </w:rPr>
        <w:t>=2），用于能量分辨力测量和能量刻度。</w:t>
      </w:r>
    </w:p>
    <w:p w14:paraId="2806100F">
      <w:pPr>
        <w:keepNext w:val="0"/>
        <w:keepLines w:val="0"/>
        <w:pageBreakBefore w:val="0"/>
        <w:kinsoku/>
        <w:wordWrap/>
        <w:overflowPunct/>
        <w:topLinePunct w:val="0"/>
        <w:bidi w:val="0"/>
        <w:snapToGrid/>
        <w:spacing w:line="480" w:lineRule="exact"/>
        <w:ind w:left="0" w:leftChars="0" w:firstLine="0" w:firstLineChars="0"/>
        <w:textAlignment w:val="auto"/>
        <w:rPr>
          <w:rFonts w:hint="eastAsia"/>
          <w:sz w:val="24"/>
          <w:lang w:eastAsia="zh-CN"/>
        </w:rPr>
      </w:pPr>
      <w:r>
        <w:rPr>
          <w:sz w:val="24"/>
        </w:rPr>
        <w:t>6.</w:t>
      </w:r>
      <w:r>
        <w:rPr>
          <w:rFonts w:hint="eastAsia"/>
          <w:sz w:val="24"/>
          <w:lang w:val="en-US" w:eastAsia="zh-CN"/>
        </w:rPr>
        <w:t>2.3</w:t>
      </w:r>
      <w:r>
        <w:rPr>
          <w:sz w:val="24"/>
        </w:rPr>
        <w:t xml:space="preserve">  </w:t>
      </w:r>
      <w:r>
        <w:rPr>
          <w:rFonts w:hint="eastAsia"/>
          <w:sz w:val="24"/>
          <w:lang w:eastAsia="zh-CN"/>
        </w:rPr>
        <w:t>放射性碘标准溶液</w:t>
      </w:r>
    </w:p>
    <w:p w14:paraId="31FC88F8">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color w:val="auto"/>
          <w:kern w:val="0"/>
          <w:lang w:val="en-US" w:eastAsia="zh-CN"/>
        </w:rPr>
      </w:pPr>
      <w:r>
        <w:rPr>
          <w:rFonts w:hint="eastAsia"/>
          <w:color w:val="auto"/>
          <w:kern w:val="0"/>
          <w:lang w:eastAsia="zh-CN"/>
        </w:rPr>
        <w:t>推荐核素为</w:t>
      </w:r>
      <w:r>
        <w:rPr>
          <w:rFonts w:hint="eastAsia"/>
          <w:color w:val="auto"/>
          <w:kern w:val="0"/>
          <w:vertAlign w:val="superscript"/>
          <w:lang w:val="en-US" w:eastAsia="zh-CN"/>
        </w:rPr>
        <w:t>131</w:t>
      </w:r>
      <w:r>
        <w:rPr>
          <w:rFonts w:hint="eastAsia"/>
          <w:color w:val="auto"/>
          <w:kern w:val="0"/>
          <w:lang w:val="en-US" w:eastAsia="zh-CN"/>
        </w:rPr>
        <w:t>I</w:t>
      </w:r>
      <w:r>
        <w:rPr>
          <w:rFonts w:hint="eastAsia"/>
          <w:lang w:val="en-US" w:eastAsia="zh-CN"/>
        </w:rPr>
        <w:t>或</w:t>
      </w:r>
      <w:r>
        <w:rPr>
          <w:rFonts w:hint="eastAsia"/>
          <w:vertAlign w:val="superscript"/>
          <w:lang w:val="en-US" w:eastAsia="zh-CN"/>
        </w:rPr>
        <w:t>125</w:t>
      </w:r>
      <w:r>
        <w:rPr>
          <w:rFonts w:hint="eastAsia"/>
          <w:lang w:val="en-US" w:eastAsia="zh-CN"/>
        </w:rPr>
        <w:t>I，</w:t>
      </w:r>
      <w:r>
        <w:rPr>
          <w:rFonts w:hint="eastAsia"/>
          <w:color w:val="auto"/>
          <w:kern w:val="0"/>
          <w:lang w:val="en-US" w:eastAsia="zh-CN"/>
        </w:rPr>
        <w:t>活度范围为</w:t>
      </w:r>
      <w:r>
        <w:rPr>
          <w:rFonts w:ascii="Times New Roman" w:hAnsi="Times New Roman"/>
          <w:color w:val="000000" w:themeColor="text1"/>
          <w:sz w:val="24"/>
          <w:szCs w:val="24"/>
          <w14:textFill>
            <w14:solidFill>
              <w14:schemeClr w14:val="tx1"/>
            </w14:solidFill>
          </w14:textFill>
        </w:rPr>
        <w:t>（</w:t>
      </w:r>
      <w:r>
        <w:rPr>
          <w:rFonts w:hint="eastAsia"/>
          <w:lang w:val="en-US" w:eastAsia="zh-CN"/>
        </w:rPr>
        <w:t>10</w:t>
      </w:r>
      <w:r>
        <w:rPr>
          <w:rFonts w:hint="eastAsia"/>
          <w:vertAlign w:val="superscript"/>
          <w:lang w:val="en-US" w:eastAsia="zh-CN"/>
        </w:rPr>
        <w:t>2</w:t>
      </w:r>
      <w:r>
        <w:rPr>
          <w:rFonts w:hint="eastAsia"/>
          <w:lang w:val="en-US" w:eastAsia="zh-CN"/>
        </w:rPr>
        <w:t>~10</w:t>
      </w:r>
      <w:r>
        <w:rPr>
          <w:rFonts w:hint="eastAsia"/>
          <w:vertAlign w:val="superscript"/>
          <w:lang w:val="en-US" w:eastAsia="zh-CN"/>
        </w:rPr>
        <w:t>7</w:t>
      </w:r>
      <w:r>
        <w:rPr>
          <w:rFonts w:ascii="Times New Roman" w:hAnsi="Times New Roman"/>
          <w:color w:val="000000" w:themeColor="text1"/>
          <w:sz w:val="24"/>
          <w:szCs w:val="24"/>
          <w14:textFill>
            <w14:solidFill>
              <w14:schemeClr w14:val="tx1"/>
            </w14:solidFill>
          </w14:textFill>
        </w:rPr>
        <w:t>）Bq</w:t>
      </w:r>
      <w:r>
        <w:rPr>
          <w:rFonts w:hint="eastAsia"/>
          <w:color w:val="000000" w:themeColor="text1"/>
          <w:sz w:val="24"/>
          <w:szCs w:val="24"/>
          <w:lang w:eastAsia="zh-CN"/>
          <w14:textFill>
            <w14:solidFill>
              <w14:schemeClr w14:val="tx1"/>
            </w14:solidFill>
          </w14:textFill>
        </w:rPr>
        <w:t>，</w:t>
      </w:r>
      <w:r>
        <w:rPr>
          <w:rFonts w:hint="eastAsia"/>
          <w:lang w:val="en-US" w:eastAsia="zh-CN"/>
        </w:rPr>
        <w:t>相对扩展不确定度</w:t>
      </w:r>
      <w:r>
        <w:rPr>
          <w:rFonts w:ascii="Times New Roman" w:hAnsi="Times New Roman"/>
          <w:i/>
          <w:color w:val="000000" w:themeColor="text1"/>
          <w:sz w:val="24"/>
          <w:szCs w:val="24"/>
          <w14:textFill>
            <w14:solidFill>
              <w14:schemeClr w14:val="tx1"/>
            </w14:solidFill>
          </w14:textFill>
        </w:rPr>
        <w:t>U</w:t>
      </w:r>
      <w:r>
        <w:rPr>
          <w:rFonts w:ascii="Times New Roman" w:hAnsi="Times New Roman"/>
          <w:color w:val="000000" w:themeColor="text1"/>
          <w:sz w:val="24"/>
          <w:szCs w:val="24"/>
          <w:vertAlign w:val="subscript"/>
          <w14:textFill>
            <w14:solidFill>
              <w14:schemeClr w14:val="tx1"/>
            </w14:solidFill>
          </w14:textFill>
        </w:rPr>
        <w:t>rel</w:t>
      </w:r>
      <w:r>
        <w:rPr>
          <w:rFonts w:hint="eastAsia" w:ascii="宋体" w:hAnsi="宋体" w:eastAsia="宋体" w:cs="宋体"/>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w:t>
      </w:r>
      <w:r>
        <w:rPr>
          <w:rFonts w:ascii="Times New Roman" w:hAnsi="Times New Roman"/>
          <w:i/>
          <w:color w:val="000000" w:themeColor="text1"/>
          <w:sz w:val="24"/>
          <w:szCs w:val="24"/>
          <w14:textFill>
            <w14:solidFill>
              <w14:schemeClr w14:val="tx1"/>
            </w14:solidFill>
          </w14:textFill>
        </w:rPr>
        <w:t>k</w:t>
      </w:r>
      <w:r>
        <w:rPr>
          <w:rFonts w:ascii="Times New Roman" w:hAnsi="Times New Roman"/>
          <w:color w:val="000000" w:themeColor="text1"/>
          <w:sz w:val="24"/>
          <w:szCs w:val="24"/>
          <w14:textFill>
            <w14:solidFill>
              <w14:schemeClr w14:val="tx1"/>
            </w14:solidFill>
          </w14:textFill>
        </w:rPr>
        <w:t>=2）</w:t>
      </w:r>
      <w:r>
        <w:rPr>
          <w:rFonts w:hint="eastAsia"/>
          <w:color w:val="000000" w:themeColor="text1"/>
          <w:sz w:val="24"/>
          <w:szCs w:val="24"/>
          <w:lang w:eastAsia="zh-CN"/>
          <w14:textFill>
            <w14:solidFill>
              <w14:schemeClr w14:val="tx1"/>
            </w14:solidFill>
          </w14:textFill>
        </w:rPr>
        <w:t>，用于活度响应</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color w:val="000000" w:themeColor="text1"/>
          <w:sz w:val="24"/>
          <w:szCs w:val="24"/>
          <w:lang w:eastAsia="zh-CN"/>
          <w14:textFill>
            <w14:solidFill>
              <w14:schemeClr w14:val="tx1"/>
            </w14:solidFill>
          </w14:textFill>
        </w:rPr>
        <w:t>活度示值误差及重复性测量</w:t>
      </w:r>
      <w:r>
        <w:rPr>
          <w:rFonts w:hint="eastAsia"/>
          <w:color w:val="auto"/>
          <w:kern w:val="0"/>
          <w:lang w:val="en-US" w:eastAsia="zh-CN"/>
        </w:rPr>
        <w:t>。</w:t>
      </w:r>
    </w:p>
    <w:p w14:paraId="0DDF759E">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color w:val="auto"/>
          <w:kern w:val="0"/>
          <w:lang w:val="en-US" w:eastAsia="zh-CN"/>
        </w:rPr>
      </w:pPr>
      <w:r>
        <w:rPr>
          <w:rFonts w:hint="eastAsia"/>
          <w:color w:val="auto"/>
          <w:kern w:val="0"/>
          <w:lang w:val="en-US" w:eastAsia="zh-CN"/>
        </w:rPr>
        <w:t>校准用放射性核素应保证有效溯源，核素的相关信息见表1。</w:t>
      </w:r>
    </w:p>
    <w:p w14:paraId="33C1B84E">
      <w:pPr>
        <w:keepNext w:val="0"/>
        <w:keepLines w:val="0"/>
        <w:pageBreakBefore w:val="0"/>
        <w:widowControl/>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lang w:val="en-US" w:eastAsia="zh-CN"/>
        </w:rPr>
        <w:t>表1  校准用放射性核素信息表</w:t>
      </w:r>
    </w:p>
    <w:tbl>
      <w:tblPr>
        <w:tblStyle w:val="2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2235"/>
        <w:gridCol w:w="2235"/>
        <w:gridCol w:w="2239"/>
      </w:tblGrid>
      <w:tr w14:paraId="5E8B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9" w:type="pct"/>
            <w:vAlign w:val="center"/>
          </w:tcPr>
          <w:p w14:paraId="715DF920">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核素</w:t>
            </w:r>
          </w:p>
        </w:tc>
        <w:tc>
          <w:tcPr>
            <w:tcW w:w="1249" w:type="pct"/>
            <w:vAlign w:val="center"/>
          </w:tcPr>
          <w:p w14:paraId="79D39C67">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半衰期</w:t>
            </w:r>
          </w:p>
        </w:tc>
        <w:tc>
          <w:tcPr>
            <w:tcW w:w="1249" w:type="pct"/>
            <w:vAlign w:val="center"/>
          </w:tcPr>
          <w:p w14:paraId="0461210B">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default" w:ascii="Times New Roman" w:hAnsi="Times New Roman" w:cs="Times New Roman"/>
                <w:color w:val="auto"/>
                <w:kern w:val="0"/>
                <w:sz w:val="21"/>
                <w:szCs w:val="21"/>
                <w:vertAlign w:val="baseline"/>
                <w:lang w:val="en-US" w:eastAsia="zh-CN"/>
              </w:rPr>
              <w:t>γ</w:t>
            </w:r>
            <w:r>
              <w:rPr>
                <w:rFonts w:hint="eastAsia"/>
                <w:color w:val="auto"/>
                <w:kern w:val="0"/>
                <w:sz w:val="21"/>
                <w:szCs w:val="21"/>
                <w:vertAlign w:val="baseline"/>
                <w:lang w:val="en-US" w:eastAsia="zh-CN"/>
              </w:rPr>
              <w:t>射线能量/keV</w:t>
            </w:r>
          </w:p>
        </w:tc>
        <w:tc>
          <w:tcPr>
            <w:tcW w:w="1251" w:type="pct"/>
            <w:vAlign w:val="center"/>
          </w:tcPr>
          <w:p w14:paraId="24E6147B">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分支比</w:t>
            </w:r>
          </w:p>
        </w:tc>
      </w:tr>
      <w:tr w14:paraId="05E7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9" w:type="pct"/>
            <w:vAlign w:val="center"/>
          </w:tcPr>
          <w:p w14:paraId="0B8300E2">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sz w:val="21"/>
                <w:szCs w:val="21"/>
                <w:vertAlign w:val="superscript"/>
                <w:lang w:val="en-US" w:eastAsia="zh-CN"/>
              </w:rPr>
              <w:t>137</w:t>
            </w:r>
            <w:r>
              <w:rPr>
                <w:rFonts w:hint="eastAsia"/>
                <w:sz w:val="21"/>
                <w:szCs w:val="21"/>
                <w:lang w:val="en-US" w:eastAsia="zh-CN"/>
              </w:rPr>
              <w:t>Cs</w:t>
            </w:r>
          </w:p>
        </w:tc>
        <w:tc>
          <w:tcPr>
            <w:tcW w:w="1249" w:type="pct"/>
            <w:vAlign w:val="center"/>
          </w:tcPr>
          <w:p w14:paraId="6F28C3F7">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30.08 y</w:t>
            </w:r>
          </w:p>
        </w:tc>
        <w:tc>
          <w:tcPr>
            <w:tcW w:w="1249" w:type="pct"/>
            <w:vAlign w:val="center"/>
          </w:tcPr>
          <w:p w14:paraId="4DEAB18C">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661.657</w:t>
            </w:r>
          </w:p>
        </w:tc>
        <w:tc>
          <w:tcPr>
            <w:tcW w:w="1251" w:type="pct"/>
            <w:vAlign w:val="center"/>
          </w:tcPr>
          <w:p w14:paraId="718E3588">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85.1%</w:t>
            </w:r>
          </w:p>
        </w:tc>
      </w:tr>
      <w:tr w14:paraId="3C22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9" w:type="pct"/>
            <w:vMerge w:val="restart"/>
            <w:vAlign w:val="center"/>
          </w:tcPr>
          <w:p w14:paraId="40ED0D82">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superscript"/>
                <w:lang w:val="en-US" w:eastAsia="zh-CN"/>
              </w:rPr>
              <w:t>131</w:t>
            </w:r>
            <w:r>
              <w:rPr>
                <w:rFonts w:hint="eastAsia"/>
                <w:color w:val="auto"/>
                <w:kern w:val="0"/>
                <w:sz w:val="21"/>
                <w:szCs w:val="21"/>
                <w:lang w:val="en-US" w:eastAsia="zh-CN"/>
              </w:rPr>
              <w:t>I</w:t>
            </w:r>
          </w:p>
        </w:tc>
        <w:tc>
          <w:tcPr>
            <w:tcW w:w="1249" w:type="pct"/>
            <w:vMerge w:val="restart"/>
            <w:vAlign w:val="center"/>
          </w:tcPr>
          <w:p w14:paraId="506F1C45">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8.0252 d</w:t>
            </w:r>
          </w:p>
        </w:tc>
        <w:tc>
          <w:tcPr>
            <w:tcW w:w="1249" w:type="pct"/>
            <w:vAlign w:val="center"/>
          </w:tcPr>
          <w:p w14:paraId="7D7A2D07">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364.489</w:t>
            </w:r>
          </w:p>
        </w:tc>
        <w:tc>
          <w:tcPr>
            <w:tcW w:w="1251" w:type="pct"/>
            <w:vAlign w:val="center"/>
          </w:tcPr>
          <w:p w14:paraId="1BF90CCC">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81.5%</w:t>
            </w:r>
          </w:p>
        </w:tc>
      </w:tr>
      <w:tr w14:paraId="7D3C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9" w:type="pct"/>
            <w:vMerge w:val="continue"/>
            <w:vAlign w:val="center"/>
          </w:tcPr>
          <w:p w14:paraId="40A53EB5">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eastAsia"/>
                <w:color w:val="auto"/>
                <w:kern w:val="0"/>
                <w:sz w:val="21"/>
                <w:szCs w:val="21"/>
                <w:vertAlign w:val="superscript"/>
                <w:lang w:val="en-US" w:eastAsia="zh-CN"/>
              </w:rPr>
            </w:pPr>
          </w:p>
        </w:tc>
        <w:tc>
          <w:tcPr>
            <w:tcW w:w="1249" w:type="pct"/>
            <w:vMerge w:val="continue"/>
            <w:vAlign w:val="center"/>
          </w:tcPr>
          <w:p w14:paraId="6808EBE4">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eastAsia"/>
                <w:color w:val="auto"/>
                <w:kern w:val="0"/>
                <w:sz w:val="21"/>
                <w:szCs w:val="21"/>
                <w:vertAlign w:val="baseline"/>
                <w:lang w:val="en-US" w:eastAsia="zh-CN"/>
              </w:rPr>
            </w:pPr>
          </w:p>
        </w:tc>
        <w:tc>
          <w:tcPr>
            <w:tcW w:w="1249" w:type="pct"/>
            <w:vAlign w:val="center"/>
          </w:tcPr>
          <w:p w14:paraId="3FD8538B">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636.989</w:t>
            </w:r>
          </w:p>
        </w:tc>
        <w:tc>
          <w:tcPr>
            <w:tcW w:w="1251" w:type="pct"/>
            <w:vAlign w:val="center"/>
          </w:tcPr>
          <w:p w14:paraId="0A9F7225">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7.16%</w:t>
            </w:r>
          </w:p>
        </w:tc>
      </w:tr>
      <w:tr w14:paraId="67BA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9" w:type="pct"/>
            <w:vAlign w:val="center"/>
          </w:tcPr>
          <w:p w14:paraId="6F4774CA">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sz w:val="21"/>
                <w:szCs w:val="21"/>
                <w:vertAlign w:val="superscript"/>
                <w:lang w:val="en-US" w:eastAsia="zh-CN"/>
              </w:rPr>
              <w:t>125</w:t>
            </w:r>
            <w:r>
              <w:rPr>
                <w:rFonts w:hint="eastAsia"/>
                <w:sz w:val="21"/>
                <w:szCs w:val="21"/>
                <w:lang w:val="en-US" w:eastAsia="zh-CN"/>
              </w:rPr>
              <w:t>I</w:t>
            </w:r>
          </w:p>
        </w:tc>
        <w:tc>
          <w:tcPr>
            <w:tcW w:w="1249" w:type="pct"/>
            <w:vAlign w:val="center"/>
          </w:tcPr>
          <w:p w14:paraId="56AF18A0">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59.407 d</w:t>
            </w:r>
          </w:p>
        </w:tc>
        <w:tc>
          <w:tcPr>
            <w:tcW w:w="1249" w:type="pct"/>
            <w:vAlign w:val="center"/>
          </w:tcPr>
          <w:p w14:paraId="4D6C6212">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35.4925</w:t>
            </w:r>
          </w:p>
        </w:tc>
        <w:tc>
          <w:tcPr>
            <w:tcW w:w="1251" w:type="pct"/>
            <w:vAlign w:val="center"/>
          </w:tcPr>
          <w:p w14:paraId="7DFB8D34">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6.68%</w:t>
            </w:r>
          </w:p>
        </w:tc>
      </w:tr>
    </w:tbl>
    <w:p w14:paraId="5FF9AA08">
      <w:pPr>
        <w:keepNext w:val="0"/>
        <w:keepLines w:val="0"/>
        <w:pageBreakBefore w:val="0"/>
        <w:kinsoku/>
        <w:wordWrap/>
        <w:overflowPunct/>
        <w:topLinePunct w:val="0"/>
        <w:bidi w:val="0"/>
        <w:snapToGrid/>
        <w:spacing w:line="480" w:lineRule="exact"/>
        <w:ind w:left="0" w:leftChars="0" w:firstLine="0" w:firstLineChars="0"/>
        <w:textAlignment w:val="auto"/>
        <w:rPr>
          <w:rFonts w:hint="eastAsia"/>
          <w:sz w:val="24"/>
          <w:lang w:eastAsia="zh-CN"/>
        </w:rPr>
      </w:pPr>
      <w:r>
        <w:rPr>
          <w:sz w:val="24"/>
        </w:rPr>
        <w:t>6.</w:t>
      </w:r>
      <w:r>
        <w:rPr>
          <w:rFonts w:hint="eastAsia"/>
          <w:sz w:val="24"/>
          <w:lang w:val="en-US" w:eastAsia="zh-CN"/>
        </w:rPr>
        <w:t>2.3</w:t>
      </w:r>
      <w:r>
        <w:rPr>
          <w:sz w:val="24"/>
        </w:rPr>
        <w:t xml:space="preserve">  </w:t>
      </w:r>
      <w:r>
        <w:rPr>
          <w:rFonts w:hint="eastAsia"/>
          <w:sz w:val="24"/>
          <w:lang w:eastAsia="zh-CN"/>
        </w:rPr>
        <w:t>颈部模体</w:t>
      </w:r>
    </w:p>
    <w:p w14:paraId="49B72DB7">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color w:val="auto"/>
          <w:kern w:val="0"/>
          <w:lang w:val="en-US" w:eastAsia="zh-CN"/>
        </w:rPr>
      </w:pPr>
      <w:r>
        <w:rPr>
          <w:rFonts w:hint="eastAsia"/>
          <w:color w:val="auto"/>
          <w:kern w:val="0"/>
          <w:lang w:eastAsia="zh-CN"/>
        </w:rPr>
        <w:t>颈部模体应符合附录</w:t>
      </w:r>
      <w:r>
        <w:rPr>
          <w:rFonts w:hint="eastAsia"/>
          <w:color w:val="auto"/>
          <w:kern w:val="0"/>
          <w:lang w:val="en-US" w:eastAsia="zh-CN"/>
        </w:rPr>
        <w:t>A的要求。</w:t>
      </w:r>
    </w:p>
    <w:p w14:paraId="1916908C">
      <w:pPr>
        <w:pStyle w:val="2"/>
        <w:keepNext w:val="0"/>
        <w:keepLines w:val="0"/>
        <w:pageBreakBefore w:val="0"/>
        <w:widowControl w:val="0"/>
        <w:kinsoku/>
        <w:wordWrap/>
        <w:overflowPunct/>
        <w:topLinePunct w:val="0"/>
        <w:autoSpaceDE/>
        <w:autoSpaceDN/>
        <w:bidi w:val="0"/>
        <w:adjustRightInd/>
        <w:snapToGrid/>
        <w:spacing w:line="480" w:lineRule="exact"/>
        <w:textAlignment w:val="auto"/>
      </w:pPr>
      <w:bookmarkStart w:id="53" w:name="_Toc24030"/>
      <w:bookmarkStart w:id="54" w:name="_Toc29061"/>
      <w:bookmarkStart w:id="55" w:name="_Toc27101"/>
      <w:r>
        <w:rPr>
          <w:rFonts w:hint="eastAsia"/>
        </w:rPr>
        <w:t>7  校准项目和校准方法</w:t>
      </w:r>
      <w:bookmarkEnd w:id="53"/>
      <w:bookmarkEnd w:id="54"/>
      <w:bookmarkEnd w:id="55"/>
      <w:bookmarkStart w:id="56" w:name="_Toc10272"/>
    </w:p>
    <w:p w14:paraId="09E71AFF">
      <w:pPr>
        <w:pStyle w:val="4"/>
        <w:pageBreakBefore w:val="0"/>
        <w:widowControl w:val="0"/>
        <w:kinsoku/>
        <w:wordWrap/>
        <w:overflowPunct/>
        <w:topLinePunct w:val="0"/>
        <w:autoSpaceDE/>
        <w:autoSpaceDN/>
        <w:bidi w:val="0"/>
        <w:adjustRightInd/>
        <w:snapToGrid/>
        <w:spacing w:line="480" w:lineRule="exact"/>
        <w:textAlignment w:val="auto"/>
        <w:rPr>
          <w:rFonts w:hint="eastAsia" w:eastAsia="宋体"/>
          <w:lang w:eastAsia="zh-CN"/>
        </w:rPr>
      </w:pPr>
      <w:bookmarkStart w:id="57" w:name="_Toc27064"/>
      <w:r>
        <w:t>7.</w:t>
      </w:r>
      <w:r>
        <w:rPr>
          <w:rFonts w:hint="eastAsia"/>
          <w:lang w:val="en-US" w:eastAsia="zh-CN"/>
        </w:rPr>
        <w:t>1</w:t>
      </w:r>
      <w:r>
        <w:t xml:space="preserve">  </w:t>
      </w:r>
      <w:r>
        <w:rPr>
          <w:rFonts w:hint="eastAsia"/>
          <w:lang w:eastAsia="zh-CN"/>
        </w:rPr>
        <w:t>校准项目</w:t>
      </w:r>
      <w:bookmarkEnd w:id="57"/>
    </w:p>
    <w:p w14:paraId="081C8BD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sz w:val="24"/>
        </w:rPr>
      </w:pPr>
      <w:r>
        <w:rPr>
          <w:rFonts w:hint="eastAsia"/>
          <w:sz w:val="24"/>
          <w:lang w:eastAsia="zh-CN"/>
        </w:rPr>
        <w:t>甲状腺碘测量仪校准项目一览表见表</w:t>
      </w:r>
      <w:r>
        <w:rPr>
          <w:rFonts w:hint="eastAsia"/>
          <w:sz w:val="24"/>
          <w:lang w:val="en-US" w:eastAsia="zh-CN"/>
        </w:rPr>
        <w:t>2。</w:t>
      </w:r>
    </w:p>
    <w:p w14:paraId="19ED9B9E">
      <w:pPr>
        <w:keepNext w:val="0"/>
        <w:keepLines w:val="0"/>
        <w:pageBreakBefore w:val="0"/>
        <w:widowControl/>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黑体" w:hAnsi="黑体" w:eastAsia="黑体" w:cs="黑体"/>
          <w:color w:val="auto"/>
          <w:kern w:val="0"/>
          <w:sz w:val="21"/>
          <w:szCs w:val="21"/>
          <w:lang w:val="en-US" w:eastAsia="zh-CN"/>
        </w:rPr>
      </w:pPr>
    </w:p>
    <w:p w14:paraId="5343B990">
      <w:pPr>
        <w:keepNext w:val="0"/>
        <w:keepLines w:val="0"/>
        <w:pageBreakBefore w:val="0"/>
        <w:widowControl/>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黑体" w:hAnsi="黑体" w:eastAsia="黑体" w:cs="黑体"/>
          <w:color w:val="auto"/>
          <w:kern w:val="0"/>
          <w:sz w:val="21"/>
          <w:szCs w:val="21"/>
          <w:lang w:val="en-US" w:eastAsia="zh-CN"/>
        </w:rPr>
      </w:pPr>
    </w:p>
    <w:p w14:paraId="2FB77B11">
      <w:pPr>
        <w:keepNext w:val="0"/>
        <w:keepLines w:val="0"/>
        <w:pageBreakBefore w:val="0"/>
        <w:widowControl/>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lang w:val="en-US" w:eastAsia="zh-CN"/>
        </w:rPr>
        <w:t>表2  甲状腺碘测量仪校准项目一览表</w:t>
      </w:r>
    </w:p>
    <w:tbl>
      <w:tblPr>
        <w:tblStyle w:val="2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6557"/>
      </w:tblGrid>
      <w:tr w14:paraId="701F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vAlign w:val="center"/>
          </w:tcPr>
          <w:p w14:paraId="6ADBAC67">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序号</w:t>
            </w:r>
          </w:p>
        </w:tc>
        <w:tc>
          <w:tcPr>
            <w:tcW w:w="3665" w:type="pct"/>
            <w:vAlign w:val="center"/>
          </w:tcPr>
          <w:p w14:paraId="3C11CDCB">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color w:val="auto"/>
                <w:kern w:val="0"/>
                <w:sz w:val="21"/>
                <w:szCs w:val="21"/>
                <w:vertAlign w:val="baseline"/>
                <w:lang w:val="en-US" w:eastAsia="zh-CN"/>
              </w:rPr>
              <w:t>校准项目</w:t>
            </w:r>
          </w:p>
        </w:tc>
      </w:tr>
      <w:tr w14:paraId="3F99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shd w:val="clear" w:color="auto" w:fill="auto"/>
            <w:vAlign w:val="center"/>
          </w:tcPr>
          <w:p w14:paraId="20F808B0">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eastAsia" w:ascii="Times New Roman" w:hAnsi="Times New Roman" w:eastAsia="宋体" w:cs="Times New Roman"/>
                <w:color w:val="auto"/>
                <w:kern w:val="0"/>
                <w:sz w:val="21"/>
                <w:szCs w:val="21"/>
                <w:vertAlign w:val="baseline"/>
                <w:lang w:val="en-US" w:eastAsia="zh-CN" w:bidi="ar-SA"/>
              </w:rPr>
            </w:pPr>
            <w:r>
              <w:rPr>
                <w:rFonts w:hint="eastAsia"/>
                <w:sz w:val="21"/>
                <w:szCs w:val="21"/>
                <w:vertAlign w:val="baseline"/>
                <w:lang w:val="en-US" w:eastAsia="zh-CN"/>
              </w:rPr>
              <w:t>1</w:t>
            </w:r>
          </w:p>
        </w:tc>
        <w:tc>
          <w:tcPr>
            <w:tcW w:w="3665" w:type="pct"/>
            <w:vAlign w:val="center"/>
          </w:tcPr>
          <w:p w14:paraId="274128AC">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eastAsia"/>
                <w:color w:val="auto"/>
                <w:kern w:val="0"/>
                <w:sz w:val="21"/>
                <w:szCs w:val="21"/>
                <w:vertAlign w:val="baseline"/>
                <w:lang w:val="en-US" w:eastAsia="zh-CN"/>
              </w:rPr>
            </w:pPr>
            <w:r>
              <w:rPr>
                <w:rFonts w:hint="eastAsia"/>
                <w:color w:val="auto"/>
                <w:kern w:val="0"/>
                <w:sz w:val="21"/>
                <w:szCs w:val="21"/>
                <w:vertAlign w:val="baseline"/>
                <w:lang w:val="en-US" w:eastAsia="zh-CN"/>
              </w:rPr>
              <w:t>外观及功能性检查</w:t>
            </w:r>
            <w:r>
              <w:rPr>
                <w:rFonts w:hint="eastAsia"/>
                <w:sz w:val="21"/>
                <w:szCs w:val="21"/>
                <w:lang w:val="en-US" w:eastAsia="zh-CN"/>
              </w:rPr>
              <w:t>*</w:t>
            </w:r>
          </w:p>
        </w:tc>
      </w:tr>
      <w:tr w14:paraId="4B2F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shd w:val="clear" w:color="auto" w:fill="auto"/>
            <w:vAlign w:val="center"/>
          </w:tcPr>
          <w:p w14:paraId="44A3FBB4">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ascii="Times New Roman" w:hAnsi="Times New Roman" w:eastAsia="宋体" w:cs="Times New Roman"/>
                <w:color w:val="auto"/>
                <w:kern w:val="0"/>
                <w:sz w:val="21"/>
                <w:szCs w:val="21"/>
                <w:vertAlign w:val="baseline"/>
                <w:lang w:val="en-US" w:eastAsia="zh-CN" w:bidi="ar-SA"/>
              </w:rPr>
            </w:pPr>
            <w:r>
              <w:rPr>
                <w:rFonts w:hint="eastAsia"/>
                <w:color w:val="auto"/>
                <w:kern w:val="0"/>
                <w:sz w:val="21"/>
                <w:szCs w:val="21"/>
                <w:vertAlign w:val="baseline"/>
                <w:lang w:val="en-US" w:eastAsia="zh-CN"/>
              </w:rPr>
              <w:t>2</w:t>
            </w:r>
          </w:p>
        </w:tc>
        <w:tc>
          <w:tcPr>
            <w:tcW w:w="3665" w:type="pct"/>
            <w:vAlign w:val="center"/>
          </w:tcPr>
          <w:p w14:paraId="3682EF36">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sz w:val="21"/>
                <w:szCs w:val="21"/>
                <w:lang w:eastAsia="zh-CN"/>
              </w:rPr>
              <w:t>本底计数率</w:t>
            </w:r>
            <w:r>
              <w:rPr>
                <w:rFonts w:hint="eastAsia"/>
                <w:sz w:val="21"/>
                <w:szCs w:val="21"/>
                <w:lang w:val="en-US" w:eastAsia="zh-CN"/>
              </w:rPr>
              <w:t>*</w:t>
            </w:r>
          </w:p>
        </w:tc>
      </w:tr>
      <w:tr w14:paraId="6BCA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shd w:val="clear" w:color="auto" w:fill="auto"/>
            <w:vAlign w:val="center"/>
          </w:tcPr>
          <w:p w14:paraId="3F7CB631">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ascii="Times New Roman" w:hAnsi="Times New Roman" w:eastAsia="宋体" w:cs="Times New Roman"/>
                <w:color w:val="auto"/>
                <w:kern w:val="0"/>
                <w:sz w:val="21"/>
                <w:szCs w:val="21"/>
                <w:vertAlign w:val="baseline"/>
                <w:lang w:val="en-US" w:eastAsia="zh-CN" w:bidi="ar-SA"/>
              </w:rPr>
            </w:pPr>
            <w:r>
              <w:rPr>
                <w:rFonts w:hint="eastAsia"/>
                <w:sz w:val="21"/>
                <w:szCs w:val="21"/>
                <w:vertAlign w:val="baseline"/>
                <w:lang w:val="en-US" w:eastAsia="zh-CN"/>
              </w:rPr>
              <w:t>3</w:t>
            </w:r>
          </w:p>
        </w:tc>
        <w:tc>
          <w:tcPr>
            <w:tcW w:w="3665" w:type="pct"/>
            <w:vAlign w:val="center"/>
          </w:tcPr>
          <w:p w14:paraId="4B66461B">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sz w:val="21"/>
                <w:szCs w:val="21"/>
                <w:lang w:eastAsia="zh-CN"/>
              </w:rPr>
              <w:t>本底稳定性</w:t>
            </w:r>
            <w:r>
              <w:rPr>
                <w:rFonts w:hint="eastAsia"/>
                <w:sz w:val="21"/>
                <w:szCs w:val="21"/>
                <w:lang w:val="en-US" w:eastAsia="zh-CN"/>
              </w:rPr>
              <w:t>*</w:t>
            </w:r>
          </w:p>
        </w:tc>
      </w:tr>
      <w:tr w14:paraId="16244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shd w:val="clear" w:color="auto" w:fill="auto"/>
            <w:vAlign w:val="center"/>
          </w:tcPr>
          <w:p w14:paraId="1EC83E4D">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sz w:val="21"/>
                <w:szCs w:val="21"/>
                <w:vertAlign w:val="baseline"/>
                <w:lang w:val="en-US" w:eastAsia="zh-CN"/>
              </w:rPr>
              <w:t>4</w:t>
            </w:r>
          </w:p>
        </w:tc>
        <w:tc>
          <w:tcPr>
            <w:tcW w:w="3665" w:type="pct"/>
            <w:vAlign w:val="center"/>
          </w:tcPr>
          <w:p w14:paraId="528EE5BE">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color w:val="auto"/>
                <w:kern w:val="0"/>
                <w:sz w:val="21"/>
                <w:szCs w:val="21"/>
                <w:vertAlign w:val="baseline"/>
                <w:lang w:val="en-US" w:eastAsia="zh-CN"/>
              </w:rPr>
            </w:pPr>
            <w:r>
              <w:rPr>
                <w:rFonts w:hint="eastAsia"/>
                <w:sz w:val="21"/>
                <w:szCs w:val="21"/>
                <w:lang w:eastAsia="zh-CN"/>
              </w:rPr>
              <w:t>能量分辨力</w:t>
            </w:r>
          </w:p>
        </w:tc>
      </w:tr>
      <w:tr w14:paraId="7C3D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shd w:val="clear" w:color="auto" w:fill="auto"/>
            <w:vAlign w:val="center"/>
          </w:tcPr>
          <w:p w14:paraId="6FAF81D0">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sz w:val="21"/>
                <w:szCs w:val="21"/>
                <w:vertAlign w:val="baseline"/>
                <w:lang w:val="en-US" w:eastAsia="zh-CN"/>
              </w:rPr>
              <w:t>5</w:t>
            </w:r>
          </w:p>
        </w:tc>
        <w:tc>
          <w:tcPr>
            <w:tcW w:w="3665" w:type="pct"/>
            <w:vAlign w:val="center"/>
          </w:tcPr>
          <w:p w14:paraId="4581D202">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eastAsia"/>
                <w:color w:val="auto"/>
                <w:kern w:val="0"/>
                <w:sz w:val="21"/>
                <w:szCs w:val="21"/>
                <w:vertAlign w:val="baseline"/>
                <w:lang w:val="en-US" w:eastAsia="zh-CN"/>
              </w:rPr>
            </w:pPr>
            <w:r>
              <w:rPr>
                <w:rFonts w:hint="eastAsia"/>
                <w:sz w:val="21"/>
                <w:szCs w:val="21"/>
                <w:lang w:eastAsia="zh-CN"/>
              </w:rPr>
              <w:t>活度响应</w:t>
            </w:r>
            <w:r>
              <w:rPr>
                <w:rFonts w:hint="eastAsia" w:ascii="宋体" w:hAnsi="宋体" w:eastAsia="宋体" w:cs="宋体"/>
                <w:sz w:val="21"/>
                <w:szCs w:val="21"/>
                <w:lang w:val="en-US" w:eastAsia="zh-CN"/>
              </w:rPr>
              <w:t>/</w:t>
            </w:r>
            <w:r>
              <w:rPr>
                <w:rFonts w:hint="eastAsia"/>
                <w:sz w:val="21"/>
                <w:szCs w:val="21"/>
                <w:lang w:eastAsia="zh-CN"/>
              </w:rPr>
              <w:t>示值误差</w:t>
            </w:r>
            <w:r>
              <w:rPr>
                <w:rFonts w:hint="eastAsia"/>
                <w:sz w:val="21"/>
                <w:szCs w:val="21"/>
                <w:lang w:val="en-US" w:eastAsia="zh-CN"/>
              </w:rPr>
              <w:t>*</w:t>
            </w:r>
          </w:p>
        </w:tc>
      </w:tr>
      <w:tr w14:paraId="360B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34" w:type="pct"/>
            <w:vAlign w:val="center"/>
          </w:tcPr>
          <w:p w14:paraId="761C6BA9">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3665" w:type="pct"/>
            <w:vAlign w:val="center"/>
          </w:tcPr>
          <w:p w14:paraId="33804E93">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center"/>
              <w:textAlignment w:val="auto"/>
              <w:rPr>
                <w:rFonts w:hint="eastAsia"/>
                <w:color w:val="auto"/>
                <w:kern w:val="0"/>
                <w:sz w:val="21"/>
                <w:szCs w:val="21"/>
                <w:vertAlign w:val="baseline"/>
                <w:lang w:val="en-US" w:eastAsia="zh-CN"/>
              </w:rPr>
            </w:pPr>
            <w:r>
              <w:rPr>
                <w:rFonts w:hint="eastAsia"/>
                <w:sz w:val="21"/>
                <w:szCs w:val="21"/>
                <w:lang w:eastAsia="zh-CN"/>
              </w:rPr>
              <w:t>重复性</w:t>
            </w:r>
            <w:r>
              <w:rPr>
                <w:rFonts w:hint="eastAsia"/>
                <w:sz w:val="21"/>
                <w:szCs w:val="21"/>
                <w:lang w:val="en-US" w:eastAsia="zh-CN"/>
              </w:rPr>
              <w:t>*</w:t>
            </w:r>
          </w:p>
        </w:tc>
      </w:tr>
      <w:tr w14:paraId="5336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2"/>
            <w:vAlign w:val="center"/>
          </w:tcPr>
          <w:p w14:paraId="57210C7F">
            <w:pPr>
              <w:keepNext w:val="0"/>
              <w:keepLines w:val="0"/>
              <w:pageBreakBefore w:val="0"/>
              <w:widowControl/>
              <w:kinsoku/>
              <w:wordWrap/>
              <w:overflowPunct/>
              <w:topLinePunct w:val="0"/>
              <w:autoSpaceDE w:val="0"/>
              <w:autoSpaceDN w:val="0"/>
              <w:bidi w:val="0"/>
              <w:adjustRightInd w:val="0"/>
              <w:snapToGrid/>
              <w:spacing w:line="240" w:lineRule="auto"/>
              <w:ind w:firstLine="0" w:firstLineChars="0"/>
              <w:jc w:val="left"/>
              <w:textAlignment w:val="auto"/>
              <w:rPr>
                <w:rFonts w:hint="eastAsia"/>
                <w:sz w:val="21"/>
                <w:szCs w:val="21"/>
                <w:lang w:eastAsia="zh-CN"/>
              </w:rPr>
            </w:pPr>
            <w:r>
              <w:rPr>
                <w:rFonts w:hint="eastAsia" w:ascii="仿宋" w:hAnsi="仿宋" w:eastAsia="仿宋" w:cs="仿宋"/>
                <w:color w:val="auto"/>
                <w:sz w:val="21"/>
                <w:szCs w:val="21"/>
                <w:lang w:eastAsia="zh-CN"/>
              </w:rPr>
              <w:t>注：“</w:t>
            </w:r>
            <w:r>
              <w:rPr>
                <w:rFonts w:hint="eastAsia" w:ascii="仿宋" w:hAnsi="仿宋" w:eastAsia="仿宋" w:cs="仿宋"/>
                <w:color w:val="auto"/>
                <w:sz w:val="21"/>
                <w:szCs w:val="21"/>
                <w:lang w:val="en-US" w:eastAsia="zh-CN"/>
              </w:rPr>
              <w:t>*</w:t>
            </w:r>
            <w:r>
              <w:rPr>
                <w:rFonts w:hint="eastAsia" w:ascii="仿宋" w:hAnsi="仿宋" w:eastAsia="仿宋" w:cs="仿宋"/>
                <w:color w:val="auto"/>
                <w:sz w:val="21"/>
                <w:szCs w:val="21"/>
                <w:lang w:eastAsia="zh-CN"/>
              </w:rPr>
              <w:t>”表示计数型甲状腺碘测量仪需要校准的项目</w:t>
            </w:r>
          </w:p>
        </w:tc>
      </w:tr>
    </w:tbl>
    <w:p w14:paraId="1E653B88">
      <w:pPr>
        <w:pStyle w:val="4"/>
        <w:pageBreakBefore w:val="0"/>
        <w:widowControl w:val="0"/>
        <w:kinsoku/>
        <w:wordWrap/>
        <w:overflowPunct/>
        <w:topLinePunct w:val="0"/>
        <w:autoSpaceDE/>
        <w:autoSpaceDN/>
        <w:bidi w:val="0"/>
        <w:adjustRightInd/>
        <w:snapToGrid/>
        <w:spacing w:line="480" w:lineRule="exact"/>
        <w:textAlignment w:val="auto"/>
      </w:pPr>
      <w:bookmarkStart w:id="58" w:name="_Toc28503"/>
      <w:r>
        <w:t>7.</w:t>
      </w:r>
      <w:r>
        <w:rPr>
          <w:rFonts w:hint="eastAsia"/>
          <w:lang w:val="en-US" w:eastAsia="zh-CN"/>
        </w:rPr>
        <w:t>2</w:t>
      </w:r>
      <w:r>
        <w:t xml:space="preserve">  外观</w:t>
      </w:r>
      <w:r>
        <w:rPr>
          <w:rFonts w:hint="eastAsia"/>
          <w:lang w:val="en-US" w:eastAsia="zh-CN"/>
        </w:rPr>
        <w:t>及功能性</w:t>
      </w:r>
      <w:r>
        <w:t>检查</w:t>
      </w:r>
      <w:bookmarkEnd w:id="56"/>
      <w:bookmarkEnd w:id="58"/>
    </w:p>
    <w:p w14:paraId="4F3D5480">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sz w:val="24"/>
        </w:rPr>
      </w:pPr>
      <w:bookmarkStart w:id="59" w:name="_Toc9609"/>
      <w:r>
        <w:rPr>
          <w:sz w:val="24"/>
        </w:rPr>
        <w:t>7.</w:t>
      </w:r>
      <w:r>
        <w:rPr>
          <w:rFonts w:hint="eastAsia"/>
          <w:sz w:val="24"/>
          <w:lang w:val="en-US" w:eastAsia="zh-CN"/>
        </w:rPr>
        <w:t>2</w:t>
      </w:r>
      <w:r>
        <w:rPr>
          <w:sz w:val="24"/>
        </w:rPr>
        <w:t>.1</w:t>
      </w:r>
      <w:r>
        <w:rPr>
          <w:rFonts w:hint="eastAsia"/>
          <w:sz w:val="24"/>
        </w:rPr>
        <w:t xml:space="preserve">  </w:t>
      </w:r>
      <w:r>
        <w:rPr>
          <w:rFonts w:hint="eastAsia"/>
          <w:sz w:val="24"/>
          <w:lang w:eastAsia="zh-CN"/>
        </w:rPr>
        <w:t>甲状腺碘测量仪</w:t>
      </w:r>
      <w:r>
        <w:rPr>
          <w:sz w:val="24"/>
        </w:rPr>
        <w:t>应具有仪器名称、生产厂家、型号、出厂编号等标识。</w:t>
      </w:r>
      <w:bookmarkEnd w:id="59"/>
    </w:p>
    <w:p w14:paraId="006B679F">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sz w:val="24"/>
        </w:rPr>
      </w:pPr>
      <w:bookmarkStart w:id="60" w:name="_Toc21001"/>
      <w:r>
        <w:rPr>
          <w:sz w:val="24"/>
          <w:lang w:val="en-US" w:eastAsia="zh-CN"/>
        </w:rPr>
        <w:t>7.</w:t>
      </w:r>
      <w:r>
        <w:rPr>
          <w:rFonts w:hint="eastAsia"/>
          <w:sz w:val="24"/>
          <w:lang w:val="en-US" w:eastAsia="zh-CN"/>
        </w:rPr>
        <w:t>2</w:t>
      </w:r>
      <w:r>
        <w:rPr>
          <w:sz w:val="24"/>
          <w:lang w:val="en-US" w:eastAsia="zh-CN"/>
        </w:rPr>
        <w:t>.2</w:t>
      </w:r>
      <w:r>
        <w:rPr>
          <w:rFonts w:hint="eastAsia"/>
          <w:sz w:val="24"/>
          <w:lang w:val="en-US" w:eastAsia="zh-CN"/>
        </w:rPr>
        <w:t xml:space="preserve">  甲状腺碘测量仪应</w:t>
      </w:r>
      <w:r>
        <w:rPr>
          <w:sz w:val="24"/>
          <w:lang w:val="en-US" w:eastAsia="zh-CN"/>
        </w:rPr>
        <w:t>按键</w:t>
      </w:r>
      <w:r>
        <w:rPr>
          <w:rFonts w:hint="eastAsia"/>
          <w:sz w:val="24"/>
          <w:lang w:val="en-US" w:eastAsia="zh-CN"/>
        </w:rPr>
        <w:t>灵敏，</w:t>
      </w:r>
      <w:r>
        <w:rPr>
          <w:sz w:val="24"/>
          <w:lang w:val="en-US" w:eastAsia="zh-CN"/>
        </w:rPr>
        <w:t>通</w:t>
      </w:r>
      <w:r>
        <w:rPr>
          <w:rFonts w:hint="eastAsia"/>
          <w:sz w:val="24"/>
          <w:lang w:val="en-US" w:eastAsia="zh-CN"/>
        </w:rPr>
        <w:t>电状态下正常运行</w:t>
      </w:r>
      <w:r>
        <w:rPr>
          <w:sz w:val="24"/>
        </w:rPr>
        <w:t>。</w:t>
      </w:r>
      <w:bookmarkEnd w:id="60"/>
    </w:p>
    <w:p w14:paraId="0C3B9248">
      <w:pPr>
        <w:pStyle w:val="4"/>
        <w:pageBreakBefore w:val="0"/>
        <w:kinsoku/>
        <w:wordWrap/>
        <w:overflowPunct/>
        <w:topLinePunct w:val="0"/>
        <w:bidi w:val="0"/>
        <w:snapToGrid/>
        <w:spacing w:line="480" w:lineRule="exact"/>
        <w:textAlignment w:val="auto"/>
      </w:pPr>
      <w:bookmarkStart w:id="61" w:name="_Toc1539"/>
      <w:bookmarkStart w:id="62" w:name="_Toc11163"/>
      <w:r>
        <w:t>7.</w:t>
      </w:r>
      <w:r>
        <w:rPr>
          <w:rFonts w:hint="eastAsia"/>
          <w:lang w:val="en-US" w:eastAsia="zh-CN"/>
        </w:rPr>
        <w:t>3</w:t>
      </w:r>
      <w:r>
        <w:t xml:space="preserve">  </w:t>
      </w:r>
      <w:r>
        <w:rPr>
          <w:rFonts w:hint="eastAsia"/>
          <w:lang w:eastAsia="zh-CN"/>
        </w:rPr>
        <w:t>本底计数率</w:t>
      </w:r>
      <w:bookmarkEnd w:id="61"/>
      <w:bookmarkEnd w:id="62"/>
    </w:p>
    <w:p w14:paraId="3F8B7D08">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rFonts w:hint="eastAsia"/>
          <w:lang w:val="en-US" w:eastAsia="zh-CN"/>
        </w:rPr>
      </w:pPr>
      <w:r>
        <w:rPr>
          <w:rFonts w:hint="eastAsia"/>
          <w:lang w:eastAsia="zh-CN"/>
        </w:rPr>
        <w:t>甲状腺碘测量仪开机预热至稳定状态。设定测量时间不少于</w:t>
      </w:r>
      <w:r>
        <w:rPr>
          <w:rFonts w:hint="eastAsia"/>
          <w:lang w:val="en-US" w:eastAsia="zh-CN"/>
        </w:rPr>
        <w:t>5 min，测量完毕后读取全谱计数，按公式（1）计算本底计数率。</w:t>
      </w:r>
    </w:p>
    <w:p w14:paraId="57DFEE89">
      <w:pPr>
        <w:keepNext w:val="0"/>
        <w:keepLines w:val="0"/>
        <w:pageBreakBefore w:val="0"/>
        <w:widowControl/>
        <w:kinsoku/>
        <w:wordWrap/>
        <w:overflowPunct/>
        <w:topLinePunct w:val="0"/>
        <w:autoSpaceDE w:val="0"/>
        <w:autoSpaceDN w:val="0"/>
        <w:bidi w:val="0"/>
        <w:adjustRightInd w:val="0"/>
        <w:snapToGrid/>
        <w:spacing w:line="240" w:lineRule="auto"/>
        <w:ind w:right="0" w:firstLine="0" w:firstLineChars="0"/>
        <w:jc w:val="right"/>
        <w:textAlignment w:val="auto"/>
        <w:rPr>
          <w:rFonts w:hint="eastAsia" w:ascii="宋体" w:hAnsi="宋体" w:cs="宋体"/>
          <w:kern w:val="0"/>
        </w:rPr>
      </w:pPr>
      <w:r>
        <w:rPr>
          <w:rFonts w:ascii="宋体" w:hAnsi="宋体"/>
          <w:kern w:val="0"/>
          <w:position w:val="-24"/>
        </w:rPr>
        <w:object>
          <v:shape id="_x0000_i1025" o:spt="75" type="#_x0000_t75" style="height:31.1pt;width:42pt;" o:ole="t" filled="f" o:preferrelative="t" stroked="f" coordsize="21600,21600">
            <v:path/>
            <v:fill on="f" focussize="0,0"/>
            <v:stroke on="f"/>
            <v:imagedata r:id="rId29" o:title=""/>
            <o:lock v:ext="edit" aspectratio="t"/>
            <w10:wrap type="none"/>
            <w10:anchorlock/>
          </v:shape>
          <o:OLEObject Type="Embed" ProgID="Equation.3" ShapeID="_x0000_i1025" DrawAspect="Content" ObjectID="_1468075725" r:id="rId28">
            <o:LockedField>false</o:LockedField>
          </o:OLEObject>
        </w:object>
      </w:r>
      <w:r>
        <w:rPr>
          <w:rFonts w:hint="eastAsia"/>
          <w:kern w:val="0"/>
          <w:szCs w:val="20"/>
        </w:rPr>
        <w:t xml:space="preserve"> </w:t>
      </w:r>
      <w:r>
        <w:rPr>
          <w:rFonts w:hint="eastAsia"/>
          <w:kern w:val="0"/>
          <w:szCs w:val="20"/>
          <w:lang w:val="en-US" w:eastAsia="zh-CN"/>
        </w:rPr>
        <w:t xml:space="preserve">    </w:t>
      </w:r>
      <w:r>
        <w:rPr>
          <w:rFonts w:hint="eastAsia" w:ascii="宋体" w:hAnsi="宋体" w:cs="宋体"/>
          <w:kern w:val="0"/>
        </w:rPr>
        <w:t xml:space="preserve">                        </w:t>
      </w:r>
      <w:r>
        <w:rPr>
          <w:kern w:val="0"/>
        </w:rPr>
        <w:t>（1）</w:t>
      </w:r>
    </w:p>
    <w:p w14:paraId="2363B8F5">
      <w:pPr>
        <w:keepNext w:val="0"/>
        <w:keepLines w:val="0"/>
        <w:pageBreakBefore w:val="0"/>
        <w:widowControl/>
        <w:kinsoku/>
        <w:wordWrap/>
        <w:overflowPunct/>
        <w:topLinePunct w:val="0"/>
        <w:bidi w:val="0"/>
        <w:snapToGrid/>
        <w:spacing w:line="480" w:lineRule="exact"/>
        <w:ind w:firstLine="480" w:firstLineChars="200"/>
        <w:jc w:val="both"/>
        <w:textAlignment w:val="auto"/>
        <w:rPr>
          <w:rFonts w:hint="eastAsia" w:ascii="宋体" w:hAnsi="宋体" w:cs="宋体"/>
          <w:color w:val="FF0000"/>
          <w:kern w:val="0"/>
        </w:rPr>
      </w:pPr>
      <w:r>
        <w:rPr>
          <w:rFonts w:hint="eastAsia" w:ascii="宋体" w:hAnsi="宋体" w:cs="宋体"/>
          <w:kern w:val="0"/>
        </w:rPr>
        <w:t>式中：</w:t>
      </w:r>
    </w:p>
    <w:p w14:paraId="205D41A6">
      <w:pPr>
        <w:keepNext w:val="0"/>
        <w:keepLines w:val="0"/>
        <w:pageBreakBefore w:val="0"/>
        <w:widowControl/>
        <w:kinsoku/>
        <w:wordWrap/>
        <w:overflowPunct/>
        <w:topLinePunct w:val="0"/>
        <w:bidi w:val="0"/>
        <w:snapToGrid/>
        <w:spacing w:line="480" w:lineRule="exact"/>
        <w:ind w:firstLine="480" w:firstLineChars="200"/>
        <w:jc w:val="left"/>
        <w:textAlignment w:val="auto"/>
        <w:rPr>
          <w:kern w:val="0"/>
        </w:rPr>
      </w:pPr>
      <w:r>
        <w:rPr>
          <w:rFonts w:ascii="宋体" w:hAnsi="宋体"/>
          <w:kern w:val="0"/>
          <w:position w:val="-12"/>
        </w:rPr>
        <w:object>
          <v:shape id="_x0000_i1026" o:spt="75" type="#_x0000_t75" style="height:18.1pt;width:13pt;" o:ole="t" filled="f" o:preferrelative="t" stroked="f" coordsize="21600,21600">
            <v:path/>
            <v:fill on="f" focussize="0,0"/>
            <v:stroke on="f"/>
            <v:imagedata r:id="rId31" o:title=""/>
            <o:lock v:ext="edit" aspectratio="t"/>
            <w10:wrap type="none"/>
            <w10:anchorlock/>
          </v:shape>
          <o:OLEObject Type="Embed" ProgID="Equation.3" ShapeID="_x0000_i1026" DrawAspect="Content" ObjectID="_1468075726" r:id="rId30">
            <o:LockedField>false</o:LockedField>
          </o:OLEObject>
        </w:object>
      </w:r>
      <w:r>
        <w:rPr>
          <w:kern w:val="0"/>
        </w:rPr>
        <w:t>——</w:t>
      </w:r>
      <w:r>
        <w:rPr>
          <w:rFonts w:hint="eastAsia"/>
          <w:kern w:val="0"/>
          <w:lang w:eastAsia="zh-CN"/>
        </w:rPr>
        <w:t>本底计数率</w:t>
      </w:r>
      <w:r>
        <w:rPr>
          <w:kern w:val="0"/>
        </w:rPr>
        <w:t>，</w:t>
      </w:r>
      <w:r>
        <w:rPr>
          <w:rFonts w:hint="eastAsia"/>
          <w:kern w:val="0"/>
          <w:lang w:val="en-US" w:eastAsia="zh-CN"/>
        </w:rPr>
        <w:t>s</w:t>
      </w:r>
      <w:r>
        <w:rPr>
          <w:rFonts w:hint="eastAsia"/>
          <w:kern w:val="0"/>
          <w:vertAlign w:val="superscript"/>
          <w:lang w:val="en-US" w:eastAsia="zh-CN"/>
        </w:rPr>
        <w:t>-1</w:t>
      </w:r>
      <w:r>
        <w:rPr>
          <w:kern w:val="0"/>
        </w:rPr>
        <w:t>；</w:t>
      </w:r>
    </w:p>
    <w:p w14:paraId="066BC091">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eastAsia="宋体"/>
          <w:kern w:val="0"/>
          <w:lang w:eastAsia="zh-CN"/>
        </w:rPr>
      </w:pPr>
      <w:r>
        <w:rPr>
          <w:rFonts w:ascii="宋体" w:hAnsi="宋体"/>
          <w:kern w:val="0"/>
          <w:position w:val="-12"/>
        </w:rPr>
        <w:object>
          <v:shape id="_x0000_i1027" o:spt="75" type="#_x0000_t75" style="height:18.1pt;width:17pt;" o:ole="t" filled="f" o:preferrelative="t" stroked="f" coordsize="21600,21600">
            <v:path/>
            <v:fill on="f" focussize="0,0"/>
            <v:stroke on="f"/>
            <v:imagedata r:id="rId33" o:title=""/>
            <o:lock v:ext="edit" aspectratio="t"/>
            <w10:wrap type="none"/>
            <w10:anchorlock/>
          </v:shape>
          <o:OLEObject Type="Embed" ProgID="Equation.3" ShapeID="_x0000_i1027" DrawAspect="Content" ObjectID="_1468075727" r:id="rId32">
            <o:LockedField>false</o:LockedField>
          </o:OLEObject>
        </w:object>
      </w:r>
      <w:r>
        <w:rPr>
          <w:kern w:val="0"/>
        </w:rPr>
        <w:t>——</w:t>
      </w:r>
      <w:r>
        <w:rPr>
          <w:rFonts w:hint="eastAsia"/>
          <w:kern w:val="0"/>
          <w:lang w:eastAsia="zh-CN"/>
        </w:rPr>
        <w:t>全谱计数；</w:t>
      </w:r>
    </w:p>
    <w:p w14:paraId="2AD9C60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kern w:val="0"/>
        </w:rPr>
      </w:pPr>
      <w:r>
        <w:rPr>
          <w:rFonts w:hint="eastAsia"/>
          <w:i/>
          <w:iCs/>
          <w:kern w:val="0"/>
          <w:lang w:val="en-US" w:eastAsia="zh-CN"/>
        </w:rPr>
        <w:t>t</w:t>
      </w:r>
      <w:r>
        <w:rPr>
          <w:kern w:val="0"/>
        </w:rPr>
        <w:t>——</w:t>
      </w:r>
      <w:bookmarkStart w:id="63" w:name="_Hlk69546939"/>
      <w:r>
        <w:rPr>
          <w:rFonts w:hint="eastAsia"/>
          <w:kern w:val="0"/>
          <w:lang w:eastAsia="zh-CN"/>
        </w:rPr>
        <w:t>本底测量时间</w:t>
      </w:r>
      <w:r>
        <w:rPr>
          <w:kern w:val="0"/>
        </w:rPr>
        <w:t>，</w:t>
      </w:r>
      <w:bookmarkEnd w:id="63"/>
      <w:r>
        <w:rPr>
          <w:rFonts w:hint="eastAsia"/>
          <w:kern w:val="0"/>
          <w:lang w:val="en-US" w:eastAsia="zh-CN"/>
        </w:rPr>
        <w:t>s</w:t>
      </w:r>
      <w:r>
        <w:rPr>
          <w:kern w:val="0"/>
        </w:rPr>
        <w:t>。</w:t>
      </w:r>
    </w:p>
    <w:p w14:paraId="5229108B">
      <w:pPr>
        <w:pStyle w:val="4"/>
        <w:pageBreakBefore w:val="0"/>
        <w:kinsoku/>
        <w:wordWrap/>
        <w:overflowPunct/>
        <w:topLinePunct w:val="0"/>
        <w:bidi w:val="0"/>
        <w:snapToGrid/>
        <w:spacing w:line="480" w:lineRule="exact"/>
        <w:textAlignment w:val="auto"/>
      </w:pPr>
      <w:bookmarkStart w:id="64" w:name="_Toc14680"/>
      <w:r>
        <w:t>7.</w:t>
      </w:r>
      <w:r>
        <w:rPr>
          <w:rFonts w:hint="eastAsia"/>
          <w:lang w:val="en-US" w:eastAsia="zh-CN"/>
        </w:rPr>
        <w:t>4</w:t>
      </w:r>
      <w:r>
        <w:t xml:space="preserve">  </w:t>
      </w:r>
      <w:r>
        <w:rPr>
          <w:rFonts w:hint="eastAsia"/>
          <w:lang w:eastAsia="zh-CN"/>
        </w:rPr>
        <w:t>本底稳定性</w:t>
      </w:r>
      <w:bookmarkEnd w:id="64"/>
    </w:p>
    <w:p w14:paraId="0DE6FBA4">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rFonts w:hint="eastAsia"/>
          <w:lang w:val="en-US" w:eastAsia="zh-CN"/>
        </w:rPr>
      </w:pPr>
      <w:r>
        <w:rPr>
          <w:rFonts w:hint="eastAsia"/>
          <w:lang w:eastAsia="zh-CN"/>
        </w:rPr>
        <w:t>按照</w:t>
      </w:r>
      <w:r>
        <w:rPr>
          <w:rFonts w:hint="eastAsia"/>
          <w:lang w:val="en-US" w:eastAsia="zh-CN"/>
        </w:rPr>
        <w:t>7.3方法测量本底计数率，重复测量至少6次，用相对实验标准偏差表示本底稳定性。</w:t>
      </w:r>
    </w:p>
    <w:p w14:paraId="4BB4589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right"/>
        <w:textAlignment w:val="auto"/>
        <w:rPr>
          <w:kern w:val="0"/>
        </w:rPr>
      </w:pPr>
      <w:r>
        <w:rPr>
          <w:rFonts w:ascii="宋体" w:hAnsi="宋体"/>
          <w:kern w:val="0"/>
          <w:position w:val="-32"/>
        </w:rPr>
        <w:object>
          <v:shape id="_x0000_i1028" o:spt="75" type="#_x0000_t75" style="height:55.15pt;width:132.95pt;" o:ole="t" filled="f" o:preferrelative="t" stroked="f" coordsize="21600,21600">
            <v:path/>
            <v:fill on="f" focussize="0,0"/>
            <v:stroke on="f"/>
            <v:imagedata r:id="rId35" o:title=""/>
            <o:lock v:ext="edit" aspectratio="t"/>
            <w10:wrap type="none"/>
            <w10:anchorlock/>
          </v:shape>
          <o:OLEObject Type="Embed" ProgID="Equation.3" ShapeID="_x0000_i1028" DrawAspect="Content" ObjectID="_1468075728" r:id="rId34">
            <o:LockedField>false</o:LockedField>
          </o:OLEObject>
        </w:object>
      </w:r>
      <w:r>
        <w:rPr>
          <w:rFonts w:hint="eastAsia"/>
          <w:kern w:val="0"/>
          <w:szCs w:val="20"/>
        </w:rPr>
        <w:t xml:space="preserve"> </w:t>
      </w:r>
      <w:r>
        <w:rPr>
          <w:rFonts w:hint="eastAsia"/>
          <w:kern w:val="0"/>
          <w:szCs w:val="20"/>
          <w:lang w:val="en-US" w:eastAsia="zh-CN"/>
        </w:rPr>
        <w:t xml:space="preserve">    </w:t>
      </w:r>
      <w:r>
        <w:rPr>
          <w:rFonts w:hint="eastAsia" w:ascii="宋体" w:hAnsi="宋体" w:cs="宋体"/>
          <w:kern w:val="0"/>
        </w:rPr>
        <w:t xml:space="preserve"> </w:t>
      </w:r>
      <w:r>
        <w:rPr>
          <w:rFonts w:hint="eastAsia" w:ascii="宋体" w:hAnsi="宋体" w:cs="宋体"/>
          <w:kern w:val="0"/>
          <w:lang w:val="en-US" w:eastAsia="zh-CN"/>
        </w:rPr>
        <w:t xml:space="preserve">  </w:t>
      </w:r>
      <w:r>
        <w:rPr>
          <w:rFonts w:hint="eastAsia" w:ascii="宋体" w:hAnsi="宋体" w:cs="宋体"/>
          <w:kern w:val="0"/>
        </w:rPr>
        <w:t xml:space="preserve">              </w:t>
      </w:r>
      <w:r>
        <w:rPr>
          <w:kern w:val="0"/>
        </w:rPr>
        <w:t>（</w:t>
      </w:r>
      <w:r>
        <w:rPr>
          <w:rFonts w:hint="eastAsia"/>
          <w:kern w:val="0"/>
          <w:lang w:val="en-US" w:eastAsia="zh-CN"/>
        </w:rPr>
        <w:t>2</w:t>
      </w:r>
      <w:r>
        <w:rPr>
          <w:kern w:val="0"/>
        </w:rPr>
        <w:t>）</w:t>
      </w:r>
    </w:p>
    <w:p w14:paraId="4C789DA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bookmarkStart w:id="65" w:name="_Toc9234"/>
      <w:r>
        <w:rPr>
          <w:kern w:val="0"/>
        </w:rPr>
        <w:t>式</w:t>
      </w:r>
      <w:r>
        <w:rPr>
          <w:rFonts w:hint="eastAsia"/>
          <w:kern w:val="0"/>
        </w:rPr>
        <w:t>中</w:t>
      </w:r>
      <w:r>
        <w:rPr>
          <w:rFonts w:hint="eastAsia" w:eastAsia="宋体"/>
          <w:kern w:val="0"/>
          <w:lang w:eastAsia="zh-CN"/>
        </w:rPr>
        <w:t>：</w:t>
      </w:r>
    </w:p>
    <w:p w14:paraId="6847B47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kern w:val="0"/>
          <w:position w:val="-14"/>
        </w:rPr>
        <w:object>
          <v:shape id="_x0000_i1029" o:spt="75" type="#_x0000_t75" style="height:19.85pt;width:29.8pt;" o:ole="t" filled="f" o:preferrelative="t" stroked="f" coordsize="21600,21600">
            <v:path/>
            <v:fill on="f" focussize="0,0"/>
            <v:stroke on="f"/>
            <v:imagedata r:id="rId37" o:title=""/>
            <o:lock v:ext="edit" aspectratio="t"/>
            <w10:wrap type="none"/>
            <w10:anchorlock/>
          </v:shape>
          <o:OLEObject Type="Embed" ProgID="Equation.3" ShapeID="_x0000_i1029" DrawAspect="Content" ObjectID="_1468075729" r:id="rId36">
            <o:LockedField>false</o:LockedField>
          </o:OLEObject>
        </w:object>
      </w:r>
      <w:r>
        <w:rPr>
          <w:kern w:val="0"/>
        </w:rPr>
        <w:t>——</w:t>
      </w:r>
      <w:r>
        <w:rPr>
          <w:rFonts w:hint="eastAsia"/>
          <w:kern w:val="0"/>
          <w:lang w:eastAsia="zh-CN"/>
        </w:rPr>
        <w:t>本底稳定性</w:t>
      </w:r>
      <w:r>
        <w:rPr>
          <w:rFonts w:hint="eastAsia"/>
          <w:kern w:val="0"/>
        </w:rPr>
        <w:t>，%</w:t>
      </w:r>
      <w:r>
        <w:rPr>
          <w:kern w:val="0"/>
        </w:rPr>
        <w:t>；</w:t>
      </w:r>
    </w:p>
    <w:p w14:paraId="3538A886">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kern w:val="0"/>
          <w:position w:val="-12"/>
        </w:rPr>
        <w:object>
          <v:shape id="_x0000_i1030" o:spt="75" type="#_x0000_t75" style="height:15.5pt;width:11.95pt;" o:ole="t" filled="f" o:preferrelative="t" stroked="f" coordsize="21600,21600">
            <v:path/>
            <v:fill on="f" focussize="0,0"/>
            <v:stroke on="f"/>
            <v:imagedata r:id="rId39" o:title=""/>
            <o:lock v:ext="edit" aspectratio="t"/>
            <w10:wrap type="none"/>
            <w10:anchorlock/>
          </v:shape>
          <o:OLEObject Type="Embed" ProgID="Equation.3" ShapeID="_x0000_i1030" DrawAspect="Content" ObjectID="_1468075730" r:id="rId38">
            <o:LockedField>false</o:LockedField>
          </o:OLEObject>
        </w:object>
      </w:r>
      <w:r>
        <w:rPr>
          <w:kern w:val="0"/>
        </w:rPr>
        <w:t>——</w:t>
      </w:r>
      <w:r>
        <w:rPr>
          <w:rFonts w:hint="eastAsia"/>
          <w:kern w:val="0"/>
          <w:lang w:eastAsia="zh-CN"/>
        </w:rPr>
        <w:t>本底计数率</w:t>
      </w:r>
      <w:r>
        <w:rPr>
          <w:rFonts w:hint="eastAsia"/>
          <w:kern w:val="0"/>
        </w:rPr>
        <w:t>第</w:t>
      </w:r>
      <w:r>
        <w:rPr>
          <w:rFonts w:hint="eastAsia"/>
          <w:i/>
          <w:iCs/>
          <w:color w:val="auto"/>
          <w:kern w:val="0"/>
        </w:rPr>
        <w:t>i</w:t>
      </w:r>
      <w:r>
        <w:rPr>
          <w:rFonts w:hint="eastAsia"/>
          <w:kern w:val="0"/>
        </w:rPr>
        <w:t>次测量值，</w:t>
      </w:r>
      <w:r>
        <w:rPr>
          <w:rFonts w:hint="eastAsia"/>
          <w:kern w:val="0"/>
          <w:lang w:val="en-US" w:eastAsia="zh-CN"/>
        </w:rPr>
        <w:t>s</w:t>
      </w:r>
      <w:r>
        <w:rPr>
          <w:rFonts w:hint="eastAsia"/>
          <w:kern w:val="0"/>
          <w:vertAlign w:val="superscript"/>
          <w:lang w:val="en-US" w:eastAsia="zh-CN"/>
        </w:rPr>
        <w:t>-1</w:t>
      </w:r>
      <w:r>
        <w:rPr>
          <w:kern w:val="0"/>
        </w:rPr>
        <w:t>；</w:t>
      </w:r>
    </w:p>
    <w:p w14:paraId="7A8119F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kern w:val="0"/>
        </w:rPr>
      </w:pPr>
      <w:r>
        <w:rPr>
          <w:kern w:val="0"/>
          <w:position w:val="-6"/>
        </w:rPr>
        <w:object>
          <v:shape id="_x0000_i1031" o:spt="75" type="#_x0000_t75" style="height:17.2pt;width:11.1pt;" o:ole="t" filled="f" o:preferrelative="t" stroked="f" coordsize="21600,21600">
            <v:path/>
            <v:fill on="f" focussize="0,0"/>
            <v:stroke on="f"/>
            <v:imagedata r:id="rId41" o:title=""/>
            <o:lock v:ext="edit" aspectratio="t"/>
            <w10:wrap type="none"/>
            <w10:anchorlock/>
          </v:shape>
          <o:OLEObject Type="Embed" ProgID="Equation.3" ShapeID="_x0000_i1031" DrawAspect="Content" ObjectID="_1468075731" r:id="rId40">
            <o:LockedField>false</o:LockedField>
          </o:OLEObject>
        </w:object>
      </w:r>
      <w:r>
        <w:rPr>
          <w:kern w:val="0"/>
        </w:rPr>
        <w:t>——</w:t>
      </w:r>
      <w:r>
        <w:rPr>
          <w:rFonts w:hint="eastAsia"/>
          <w:kern w:val="0"/>
          <w:lang w:eastAsia="zh-CN"/>
        </w:rPr>
        <w:t>本底计数率</w:t>
      </w:r>
      <w:r>
        <w:rPr>
          <w:rFonts w:hint="eastAsia"/>
          <w:i/>
          <w:iCs/>
          <w:kern w:val="0"/>
          <w:lang w:val="en-US" w:eastAsia="zh-CN"/>
        </w:rPr>
        <w:t>n</w:t>
      </w:r>
      <w:r>
        <w:rPr>
          <w:rFonts w:hint="eastAsia"/>
          <w:kern w:val="0"/>
          <w:lang w:val="en-US" w:eastAsia="zh-CN"/>
        </w:rPr>
        <w:t>次</w:t>
      </w:r>
      <w:r>
        <w:rPr>
          <w:rFonts w:hint="eastAsia"/>
          <w:kern w:val="0"/>
          <w:lang w:eastAsia="zh-CN"/>
        </w:rPr>
        <w:t>测量值的算术</w:t>
      </w:r>
      <w:r>
        <w:rPr>
          <w:rFonts w:hint="eastAsia"/>
          <w:kern w:val="0"/>
        </w:rPr>
        <w:t>平均值</w:t>
      </w:r>
      <w:r>
        <w:rPr>
          <w:kern w:val="0"/>
        </w:rPr>
        <w:t>，</w:t>
      </w:r>
      <w:r>
        <w:rPr>
          <w:rFonts w:hint="eastAsia"/>
          <w:kern w:val="0"/>
          <w:lang w:val="en-US" w:eastAsia="zh-CN"/>
        </w:rPr>
        <w:t>s</w:t>
      </w:r>
      <w:r>
        <w:rPr>
          <w:rFonts w:hint="eastAsia"/>
          <w:kern w:val="0"/>
          <w:vertAlign w:val="superscript"/>
          <w:lang w:val="en-US" w:eastAsia="zh-CN"/>
        </w:rPr>
        <w:t>-1</w:t>
      </w:r>
      <w:r>
        <w:rPr>
          <w:kern w:val="0"/>
        </w:rPr>
        <w:t>；</w:t>
      </w:r>
    </w:p>
    <w:p w14:paraId="4AF43B5B">
      <w:pPr>
        <w:keepNext w:val="0"/>
        <w:keepLines w:val="0"/>
        <w:pageBreakBefore w:val="0"/>
        <w:widowControl/>
        <w:tabs>
          <w:tab w:val="left" w:pos="1440"/>
          <w:tab w:val="left" w:pos="1680"/>
        </w:tabs>
        <w:kinsoku/>
        <w:wordWrap/>
        <w:overflowPunct/>
        <w:topLinePunct w:val="0"/>
        <w:autoSpaceDE/>
        <w:autoSpaceDN/>
        <w:bidi w:val="0"/>
        <w:adjustRightInd/>
        <w:snapToGrid/>
        <w:spacing w:line="480" w:lineRule="exact"/>
        <w:ind w:firstLine="480" w:firstLineChars="200"/>
        <w:jc w:val="left"/>
        <w:textAlignment w:val="auto"/>
        <w:rPr>
          <w:kern w:val="0"/>
        </w:rPr>
      </w:pPr>
      <w:r>
        <w:rPr>
          <w:kern w:val="0"/>
          <w:position w:val="-6"/>
        </w:rPr>
        <w:object>
          <v:shape id="_x0000_i1032" o:spt="75" type="#_x0000_t75" style="height:11pt;width:10pt;" o:ole="t" filled="f" o:preferrelative="t" stroked="f" coordsize="21600,21600">
            <v:path/>
            <v:fill on="f" focussize="0,0"/>
            <v:stroke on="f"/>
            <v:imagedata r:id="rId43" o:title=""/>
            <o:lock v:ext="edit" aspectratio="t"/>
            <w10:wrap type="none"/>
            <w10:anchorlock/>
          </v:shape>
          <o:OLEObject Type="Embed" ProgID="Equation.3" ShapeID="_x0000_i1032" DrawAspect="Content" ObjectID="_1468075732" r:id="rId42">
            <o:LockedField>false</o:LockedField>
          </o:OLEObject>
        </w:object>
      </w:r>
      <w:r>
        <w:rPr>
          <w:kern w:val="0"/>
        </w:rPr>
        <w:t>——</w:t>
      </w:r>
      <w:r>
        <w:rPr>
          <w:rFonts w:hint="eastAsia"/>
          <w:kern w:val="0"/>
        </w:rPr>
        <w:t>测量次数</w:t>
      </w:r>
      <w:r>
        <w:rPr>
          <w:kern w:val="0"/>
        </w:rPr>
        <w:t>。</w:t>
      </w:r>
    </w:p>
    <w:p w14:paraId="56FAD08F">
      <w:pPr>
        <w:pStyle w:val="4"/>
        <w:pageBreakBefore w:val="0"/>
        <w:kinsoku/>
        <w:wordWrap/>
        <w:overflowPunct/>
        <w:topLinePunct w:val="0"/>
        <w:bidi w:val="0"/>
        <w:snapToGrid/>
        <w:spacing w:line="480" w:lineRule="exact"/>
        <w:textAlignment w:val="auto"/>
        <w:rPr>
          <w:rFonts w:hint="eastAsia"/>
          <w:lang w:eastAsia="zh-CN"/>
        </w:rPr>
      </w:pPr>
      <w:bookmarkStart w:id="66" w:name="_Toc2737"/>
      <w:r>
        <w:t>7.</w:t>
      </w:r>
      <w:r>
        <w:rPr>
          <w:rFonts w:hint="eastAsia"/>
          <w:lang w:val="en-US" w:eastAsia="zh-CN"/>
        </w:rPr>
        <w:t>5</w:t>
      </w:r>
      <w:r>
        <w:t xml:space="preserve">  </w:t>
      </w:r>
      <w:bookmarkEnd w:id="65"/>
      <w:r>
        <w:rPr>
          <w:rFonts w:hint="eastAsia"/>
          <w:lang w:eastAsia="zh-CN"/>
        </w:rPr>
        <w:t>能量分辨力</w:t>
      </w:r>
      <w:bookmarkEnd w:id="66"/>
    </w:p>
    <w:p w14:paraId="3C84AACF">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kern w:val="0"/>
        </w:rPr>
      </w:pPr>
      <w:r>
        <w:rPr>
          <w:rFonts w:hint="eastAsia"/>
          <w:kern w:val="0"/>
          <w:lang w:eastAsia="zh-CN"/>
        </w:rPr>
        <w:t>对于能谱型甲状腺碘测量仪，将</w:t>
      </w:r>
      <w:r>
        <w:rPr>
          <w:rFonts w:hint="eastAsia"/>
          <w:kern w:val="0"/>
          <w:vertAlign w:val="superscript"/>
          <w:lang w:val="en-US" w:eastAsia="zh-CN"/>
        </w:rPr>
        <w:t>137</w:t>
      </w:r>
      <w:r>
        <w:rPr>
          <w:rFonts w:hint="eastAsia"/>
          <w:kern w:val="0"/>
          <w:lang w:val="en-US" w:eastAsia="zh-CN"/>
        </w:rPr>
        <w:t>Cs点参考源置于</w:t>
      </w:r>
      <w:r>
        <w:rPr>
          <w:rFonts w:hint="eastAsia"/>
          <w:lang w:eastAsia="zh-CN"/>
        </w:rPr>
        <w:t>测量仪</w:t>
      </w:r>
      <w:r>
        <w:rPr>
          <w:rFonts w:hint="eastAsia"/>
          <w:kern w:val="0"/>
          <w:lang w:val="en-US" w:eastAsia="zh-CN"/>
        </w:rPr>
        <w:t>探测器入射端口，设置测量时间使得661.7 keV特征</w:t>
      </w:r>
      <w:r>
        <w:rPr>
          <w:rFonts w:hint="default" w:ascii="Times New Roman" w:hAnsi="Times New Roman" w:cs="Times New Roman"/>
          <w:kern w:val="0"/>
          <w:lang w:val="en-US" w:eastAsia="zh-CN"/>
        </w:rPr>
        <w:t>γ</w:t>
      </w:r>
      <w:r>
        <w:rPr>
          <w:rFonts w:hint="eastAsia"/>
          <w:kern w:val="0"/>
          <w:lang w:val="en-US" w:eastAsia="zh-CN"/>
        </w:rPr>
        <w:t>射线的全能峰峰面积计数不少于10000，记算661.7 keV全能峰的半高全宽，记录中心峰位，</w:t>
      </w:r>
      <w:r>
        <w:rPr>
          <w:rFonts w:hint="eastAsia"/>
          <w:lang w:val="en-US" w:eastAsia="zh-CN"/>
        </w:rPr>
        <w:t>按公式（2）计算</w:t>
      </w:r>
      <w:r>
        <w:rPr>
          <w:rFonts w:hint="eastAsia"/>
          <w:kern w:val="0"/>
          <w:lang w:val="en-US" w:eastAsia="zh-CN"/>
        </w:rPr>
        <w:t>能量分辨力</w:t>
      </w:r>
      <w:r>
        <w:rPr>
          <w:rFonts w:hint="eastAsia"/>
          <w:lang w:val="en-US" w:eastAsia="zh-CN"/>
        </w:rPr>
        <w:t>。</w:t>
      </w:r>
    </w:p>
    <w:p w14:paraId="578A108B">
      <w:pPr>
        <w:keepNext w:val="0"/>
        <w:keepLines w:val="0"/>
        <w:pageBreakBefore w:val="0"/>
        <w:widowControl/>
        <w:kinsoku/>
        <w:wordWrap/>
        <w:overflowPunct/>
        <w:topLinePunct w:val="0"/>
        <w:autoSpaceDE/>
        <w:autoSpaceDN/>
        <w:bidi w:val="0"/>
        <w:adjustRightInd/>
        <w:snapToGrid/>
        <w:spacing w:line="240" w:lineRule="auto"/>
        <w:ind w:right="0" w:firstLine="0" w:firstLineChars="0"/>
        <w:jc w:val="right"/>
        <w:textAlignment w:val="auto"/>
        <w:rPr>
          <w:rFonts w:hint="eastAsia" w:ascii="宋体" w:hAnsi="宋体" w:cs="宋体"/>
          <w:kern w:val="0"/>
        </w:rPr>
      </w:pPr>
      <w:r>
        <w:rPr>
          <w:rFonts w:ascii="宋体" w:hAnsi="宋体"/>
          <w:kern w:val="0"/>
          <w:position w:val="-24"/>
        </w:rPr>
        <w:object>
          <v:shape id="_x0000_i1033" o:spt="75" type="#_x0000_t75" style="height:31.1pt;width:99pt;" o:ole="t" filled="f" o:preferrelative="t" stroked="f" coordsize="21600,21600">
            <v:path/>
            <v:fill on="f" focussize="0,0"/>
            <v:stroke on="f"/>
            <v:imagedata r:id="rId45" o:title=""/>
            <o:lock v:ext="edit" aspectratio="t"/>
            <w10:wrap type="none"/>
            <w10:anchorlock/>
          </v:shape>
          <o:OLEObject Type="Embed" ProgID="Equation.3" ShapeID="_x0000_i1033" DrawAspect="Content" ObjectID="_1468075733" r:id="rId44">
            <o:LockedField>false</o:LockedField>
          </o:OLEObject>
        </w:object>
      </w:r>
      <w:r>
        <w:rPr>
          <w:rFonts w:hint="eastAsia" w:ascii="宋体" w:hAnsi="宋体"/>
          <w:kern w:val="0"/>
        </w:rPr>
        <w:t xml:space="preserve">  </w:t>
      </w:r>
      <w:r>
        <w:rPr>
          <w:rFonts w:hint="eastAsia" w:ascii="宋体" w:hAnsi="宋体"/>
          <w:kern w:val="0"/>
          <w:lang w:val="en-US" w:eastAsia="zh-CN"/>
        </w:rPr>
        <w:t xml:space="preserve">   </w:t>
      </w:r>
      <w:r>
        <w:rPr>
          <w:rFonts w:hint="eastAsia" w:ascii="宋体" w:hAnsi="宋体"/>
          <w:kern w:val="0"/>
        </w:rPr>
        <w:t xml:space="preserve">          </w:t>
      </w:r>
      <w:r>
        <w:rPr>
          <w:rFonts w:hint="eastAsia" w:ascii="宋体" w:hAnsi="宋体" w:cs="宋体"/>
          <w:kern w:val="0"/>
        </w:rPr>
        <w:t xml:space="preserve">        </w:t>
      </w:r>
      <w:r>
        <w:rPr>
          <w:kern w:val="0"/>
        </w:rPr>
        <w:t>（</w:t>
      </w:r>
      <w:r>
        <w:rPr>
          <w:rFonts w:hint="eastAsia"/>
          <w:kern w:val="0"/>
          <w:lang w:val="en-US" w:eastAsia="zh-CN"/>
        </w:rPr>
        <w:t>3</w:t>
      </w:r>
      <w:r>
        <w:rPr>
          <w:kern w:val="0"/>
        </w:rPr>
        <w:t>）</w:t>
      </w:r>
    </w:p>
    <w:p w14:paraId="6DC98C9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r>
        <w:rPr>
          <w:kern w:val="0"/>
        </w:rPr>
        <w:t>式</w:t>
      </w:r>
      <w:r>
        <w:rPr>
          <w:rFonts w:hint="eastAsia"/>
          <w:kern w:val="0"/>
        </w:rPr>
        <w:t>中</w:t>
      </w:r>
      <w:r>
        <w:rPr>
          <w:rFonts w:hint="eastAsia" w:eastAsia="宋体"/>
          <w:kern w:val="0"/>
          <w:lang w:eastAsia="zh-CN"/>
        </w:rPr>
        <w:t>：</w:t>
      </w:r>
    </w:p>
    <w:p w14:paraId="164DC68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rFonts w:hint="eastAsia"/>
          <w:i/>
          <w:iCs/>
          <w:kern w:val="0"/>
          <w:lang w:val="en-US" w:eastAsia="zh-CN"/>
        </w:rPr>
        <w:t>R</w:t>
      </w:r>
      <w:r>
        <w:rPr>
          <w:kern w:val="0"/>
        </w:rPr>
        <w:t>——</w:t>
      </w:r>
      <w:r>
        <w:rPr>
          <w:rFonts w:hint="eastAsia"/>
          <w:kern w:val="0"/>
          <w:lang w:eastAsia="zh-CN"/>
        </w:rPr>
        <w:t>对</w:t>
      </w:r>
      <w:r>
        <w:rPr>
          <w:rFonts w:hint="eastAsia"/>
          <w:kern w:val="0"/>
          <w:vertAlign w:val="superscript"/>
          <w:lang w:val="en-US" w:eastAsia="zh-CN"/>
        </w:rPr>
        <w:t>137</w:t>
      </w:r>
      <w:r>
        <w:rPr>
          <w:rFonts w:hint="eastAsia"/>
          <w:kern w:val="0"/>
          <w:lang w:val="en-US" w:eastAsia="zh-CN"/>
        </w:rPr>
        <w:t>Cs的661.7 keV特征</w:t>
      </w:r>
      <w:r>
        <w:rPr>
          <w:rFonts w:hint="default" w:ascii="Times New Roman" w:hAnsi="Times New Roman" w:cs="Times New Roman"/>
          <w:kern w:val="0"/>
          <w:lang w:val="en-US" w:eastAsia="zh-CN"/>
        </w:rPr>
        <w:t>γ</w:t>
      </w:r>
      <w:r>
        <w:rPr>
          <w:rFonts w:hint="eastAsia"/>
          <w:kern w:val="0"/>
          <w:lang w:val="en-US" w:eastAsia="zh-CN"/>
        </w:rPr>
        <w:t>射线的能量分辨力</w:t>
      </w:r>
      <w:r>
        <w:rPr>
          <w:rFonts w:hint="eastAsia"/>
          <w:kern w:val="0"/>
        </w:rPr>
        <w:t>，%</w:t>
      </w:r>
      <w:r>
        <w:rPr>
          <w:kern w:val="0"/>
        </w:rPr>
        <w:t>；</w:t>
      </w:r>
    </w:p>
    <w:p w14:paraId="5E4CEA65">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rPr>
      </w:pPr>
      <w:r>
        <w:rPr>
          <w:rFonts w:hint="eastAsia"/>
          <w:kern w:val="0"/>
          <w:lang w:val="en-US" w:eastAsia="zh-CN"/>
        </w:rPr>
        <w:t>FWHM</w:t>
      </w:r>
      <w:r>
        <w:rPr>
          <w:kern w:val="0"/>
        </w:rPr>
        <w:t>——</w:t>
      </w:r>
      <w:r>
        <w:rPr>
          <w:rFonts w:hint="eastAsia"/>
          <w:kern w:val="0"/>
          <w:lang w:val="en-US" w:eastAsia="zh-CN"/>
        </w:rPr>
        <w:t>661.7 keV</w:t>
      </w:r>
      <w:r>
        <w:rPr>
          <w:rFonts w:hint="eastAsia"/>
          <w:kern w:val="0"/>
          <w:lang w:eastAsia="zh-CN"/>
        </w:rPr>
        <w:t>全能峰的半高全宽</w:t>
      </w:r>
      <w:r>
        <w:rPr>
          <w:rFonts w:hint="eastAsia"/>
          <w:kern w:val="0"/>
        </w:rPr>
        <w:t>，</w:t>
      </w:r>
      <w:r>
        <w:rPr>
          <w:rFonts w:hint="eastAsia"/>
          <w:kern w:val="0"/>
          <w:lang w:eastAsia="zh-CN"/>
        </w:rPr>
        <w:t>以能量或者道数表示</w:t>
      </w:r>
      <w:r>
        <w:rPr>
          <w:kern w:val="0"/>
        </w:rPr>
        <w:t>；</w:t>
      </w:r>
    </w:p>
    <w:p w14:paraId="2BA57162">
      <w:pPr>
        <w:keepNext w:val="0"/>
        <w:keepLines w:val="0"/>
        <w:pageBreakBefore w:val="0"/>
        <w:widowControl/>
        <w:kinsoku/>
        <w:wordWrap/>
        <w:overflowPunct/>
        <w:topLinePunct w:val="0"/>
        <w:autoSpaceDE/>
        <w:autoSpaceDN/>
        <w:bidi w:val="0"/>
        <w:adjustRightInd/>
        <w:snapToGrid/>
        <w:spacing w:line="480" w:lineRule="exact"/>
        <w:jc w:val="left"/>
        <w:textAlignment w:val="auto"/>
        <w:rPr>
          <w:kern w:val="0"/>
        </w:rPr>
      </w:pPr>
      <w:r>
        <w:rPr>
          <w:rFonts w:hint="eastAsia"/>
          <w:i/>
          <w:iCs/>
          <w:kern w:val="0"/>
          <w:lang w:val="en-US" w:eastAsia="zh-CN"/>
        </w:rPr>
        <w:t>D</w:t>
      </w:r>
      <w:r>
        <w:rPr>
          <w:kern w:val="0"/>
        </w:rPr>
        <w:t>——</w:t>
      </w:r>
      <w:r>
        <w:rPr>
          <w:rFonts w:hint="eastAsia"/>
          <w:kern w:val="0"/>
          <w:lang w:val="en-US" w:eastAsia="zh-CN"/>
        </w:rPr>
        <w:t>661.7 keV全能峰的中心</w:t>
      </w:r>
      <w:r>
        <w:rPr>
          <w:rFonts w:hint="eastAsia"/>
          <w:kern w:val="0"/>
          <w:lang w:eastAsia="zh-CN"/>
        </w:rPr>
        <w:t>峰位，以能量或者道数表示。</w:t>
      </w:r>
    </w:p>
    <w:p w14:paraId="5C647B9E">
      <w:pPr>
        <w:pStyle w:val="4"/>
        <w:pageBreakBefore w:val="0"/>
        <w:kinsoku/>
        <w:wordWrap/>
        <w:overflowPunct/>
        <w:topLinePunct w:val="0"/>
        <w:bidi w:val="0"/>
        <w:snapToGrid/>
        <w:spacing w:line="480" w:lineRule="exact"/>
        <w:textAlignment w:val="auto"/>
        <w:rPr>
          <w:rFonts w:hint="eastAsia"/>
          <w:lang w:val="en-US"/>
        </w:rPr>
      </w:pPr>
      <w:bookmarkStart w:id="67" w:name="_Toc17393"/>
      <w:bookmarkStart w:id="68" w:name="_Toc8295"/>
      <w:r>
        <w:rPr>
          <w:rFonts w:hint="eastAsia"/>
        </w:rPr>
        <w:t>7.</w:t>
      </w:r>
      <w:r>
        <w:rPr>
          <w:rFonts w:hint="eastAsia"/>
          <w:lang w:val="en-US" w:eastAsia="zh-CN"/>
        </w:rPr>
        <w:t xml:space="preserve">6 </w:t>
      </w:r>
      <w:r>
        <w:rPr>
          <w:rFonts w:hint="eastAsia"/>
        </w:rPr>
        <w:t xml:space="preserve"> </w:t>
      </w:r>
      <w:r>
        <w:rPr>
          <w:rFonts w:hint="eastAsia"/>
          <w:lang w:eastAsia="zh-CN"/>
        </w:rPr>
        <w:t>活度响应</w:t>
      </w:r>
      <w:r>
        <w:rPr>
          <w:rFonts w:hint="eastAsia" w:ascii="宋体" w:hAnsi="宋体" w:eastAsia="宋体" w:cs="宋体"/>
          <w:lang w:val="en-US" w:eastAsia="zh-CN"/>
        </w:rPr>
        <w:t>/</w:t>
      </w:r>
      <w:r>
        <w:rPr>
          <w:rFonts w:hint="eastAsia"/>
        </w:rPr>
        <w:t>示值误差</w:t>
      </w:r>
      <w:bookmarkEnd w:id="67"/>
      <w:bookmarkEnd w:id="68"/>
    </w:p>
    <w:p w14:paraId="1D1D5BD3">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0" w:firstLineChars="0"/>
        <w:jc w:val="left"/>
        <w:textAlignment w:val="auto"/>
        <w:rPr>
          <w:rFonts w:hint="default"/>
          <w:color w:val="auto"/>
          <w:kern w:val="0"/>
          <w:lang w:val="en-US" w:eastAsia="zh-CN"/>
        </w:rPr>
      </w:pPr>
      <w:r>
        <w:rPr>
          <w:rFonts w:hint="eastAsia"/>
          <w:color w:val="auto"/>
          <w:kern w:val="0"/>
          <w:lang w:val="en-US" w:eastAsia="zh-CN"/>
        </w:rPr>
        <w:t>7.6.1  能谱型</w:t>
      </w:r>
      <w:r>
        <w:rPr>
          <w:rFonts w:hint="eastAsia" w:ascii="Times New Roman" w:hAnsi="Times New Roman" w:cs="Times New Roman" w:eastAsiaTheme="minorEastAsia"/>
          <w:bCs/>
          <w:color w:val="auto"/>
          <w:sz w:val="24"/>
          <w:szCs w:val="28"/>
          <w:lang w:eastAsia="zh-CN"/>
        </w:rPr>
        <w:t>甲状腺碘测量仪</w:t>
      </w:r>
    </w:p>
    <w:p w14:paraId="747963E0">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kern w:val="0"/>
          <w:lang w:val="en-US" w:eastAsia="zh-CN"/>
        </w:rPr>
      </w:pPr>
      <w:r>
        <w:rPr>
          <w:rFonts w:hint="eastAsia"/>
          <w:kern w:val="0"/>
          <w:lang w:eastAsia="zh-CN"/>
        </w:rPr>
        <w:t>将活度已知的</w:t>
      </w:r>
      <w:r>
        <w:rPr>
          <w:rFonts w:hint="eastAsia"/>
          <w:color w:val="auto"/>
          <w:kern w:val="0"/>
          <w:vertAlign w:val="superscript"/>
          <w:lang w:val="en-US" w:eastAsia="zh-CN"/>
        </w:rPr>
        <w:t>131</w:t>
      </w:r>
      <w:r>
        <w:rPr>
          <w:rFonts w:hint="eastAsia"/>
          <w:color w:val="auto"/>
          <w:kern w:val="0"/>
          <w:lang w:val="en-US" w:eastAsia="zh-CN"/>
        </w:rPr>
        <w:t>I</w:t>
      </w:r>
      <w:r>
        <w:rPr>
          <w:rFonts w:hint="eastAsia"/>
          <w:lang w:val="en-US" w:eastAsia="zh-CN"/>
        </w:rPr>
        <w:t>或</w:t>
      </w:r>
      <w:r>
        <w:rPr>
          <w:rFonts w:hint="eastAsia"/>
          <w:vertAlign w:val="superscript"/>
          <w:lang w:val="en-US" w:eastAsia="zh-CN"/>
        </w:rPr>
        <w:t>125</w:t>
      </w:r>
      <w:r>
        <w:rPr>
          <w:rFonts w:hint="eastAsia"/>
          <w:lang w:val="en-US" w:eastAsia="zh-CN"/>
        </w:rPr>
        <w:t>I</w:t>
      </w:r>
      <w:r>
        <w:rPr>
          <w:rFonts w:hint="eastAsia"/>
          <w:kern w:val="0"/>
          <w:lang w:val="en-US" w:eastAsia="zh-CN"/>
        </w:rPr>
        <w:t>标准溶液放置于颈部模体的标准源放置孔中，模体放置在可调节支架上，通过调节支架和甲状腺碘测量仪的相对位置，使放置孔位于探测器正前方合适的位置（与被检仪器效率刻度时的测量条件保持一致），设置测量时间使标准</w:t>
      </w:r>
      <w:r>
        <w:rPr>
          <w:rFonts w:hint="eastAsia"/>
          <w:kern w:val="0"/>
          <w:lang w:eastAsia="zh-CN"/>
        </w:rPr>
        <w:t>溶液中放射性碘</w:t>
      </w:r>
      <w:r>
        <w:rPr>
          <w:rFonts w:hint="eastAsia"/>
          <w:kern w:val="0"/>
          <w:lang w:val="en-US" w:eastAsia="zh-CN"/>
        </w:rPr>
        <w:t>的</w:t>
      </w:r>
      <w:r>
        <w:rPr>
          <w:rFonts w:hint="default" w:ascii="Times New Roman" w:hAnsi="Times New Roman" w:cs="Times New Roman"/>
          <w:kern w:val="0"/>
          <w:lang w:val="en-US" w:eastAsia="zh-CN"/>
        </w:rPr>
        <w:t>γ</w:t>
      </w:r>
      <w:r>
        <w:rPr>
          <w:rFonts w:hint="eastAsia"/>
          <w:kern w:val="0"/>
          <w:lang w:val="en-US" w:eastAsia="zh-CN"/>
        </w:rPr>
        <w:t>射线全能峰计数不少于10000，重复测量3次，记录全能峰计数，按公式（4）计算活度响应。</w:t>
      </w:r>
    </w:p>
    <w:p w14:paraId="0088AF97">
      <w:pPr>
        <w:keepNext w:val="0"/>
        <w:keepLines w:val="0"/>
        <w:pageBreakBefore w:val="0"/>
        <w:widowControl/>
        <w:kinsoku/>
        <w:wordWrap/>
        <w:overflowPunct/>
        <w:topLinePunct w:val="0"/>
        <w:autoSpaceDE/>
        <w:autoSpaceDN/>
        <w:bidi w:val="0"/>
        <w:adjustRightInd/>
        <w:snapToGrid/>
        <w:spacing w:line="240" w:lineRule="auto"/>
        <w:ind w:right="0" w:firstLine="0" w:firstLineChars="0"/>
        <w:jc w:val="right"/>
        <w:textAlignment w:val="auto"/>
        <w:rPr>
          <w:rFonts w:hint="eastAsia" w:ascii="宋体" w:hAnsi="宋体" w:cs="宋体"/>
          <w:kern w:val="0"/>
        </w:rPr>
      </w:pPr>
      <w:r>
        <w:rPr>
          <w:rFonts w:ascii="宋体" w:hAnsi="宋体"/>
          <w:kern w:val="0"/>
          <w:position w:val="-30"/>
        </w:rPr>
        <w:object>
          <v:shape id="_x0000_i1034" o:spt="75" type="#_x0000_t75" style="height:37.2pt;width:58.05pt;" o:ole="t" filled="f" o:preferrelative="t" stroked="f" coordsize="21600,21600">
            <v:path/>
            <v:fill on="f" focussize="0,0"/>
            <v:stroke on="f"/>
            <v:imagedata r:id="rId47" o:title=""/>
            <o:lock v:ext="edit" aspectratio="t"/>
            <w10:wrap type="none"/>
            <w10:anchorlock/>
          </v:shape>
          <o:OLEObject Type="Embed" ProgID="Equation.3" ShapeID="_x0000_i1034" DrawAspect="Content" ObjectID="_1468075734" r:id="rId46">
            <o:LockedField>false</o:LockedField>
          </o:OLEObject>
        </w:object>
      </w:r>
      <w:r>
        <w:rPr>
          <w:rFonts w:hint="eastAsia" w:ascii="宋体" w:hAnsi="宋体"/>
          <w:kern w:val="0"/>
        </w:rPr>
        <w:t xml:space="preserve">  </w:t>
      </w:r>
      <w:r>
        <w:rPr>
          <w:rFonts w:hint="eastAsia" w:ascii="宋体" w:hAnsi="宋体"/>
          <w:kern w:val="0"/>
          <w:lang w:val="en-US" w:eastAsia="zh-CN"/>
        </w:rPr>
        <w:t xml:space="preserve">   </w:t>
      </w:r>
      <w:r>
        <w:rPr>
          <w:rFonts w:hint="eastAsia" w:ascii="宋体" w:hAnsi="宋体"/>
          <w:kern w:val="0"/>
        </w:rPr>
        <w:t xml:space="preserve">             </w:t>
      </w:r>
      <w:r>
        <w:rPr>
          <w:rFonts w:hint="eastAsia" w:ascii="宋体" w:hAnsi="宋体" w:cs="宋体"/>
          <w:kern w:val="0"/>
        </w:rPr>
        <w:t xml:space="preserve">        </w:t>
      </w:r>
      <w:r>
        <w:rPr>
          <w:kern w:val="0"/>
        </w:rPr>
        <w:t>（</w:t>
      </w:r>
      <w:r>
        <w:rPr>
          <w:rFonts w:hint="eastAsia"/>
          <w:kern w:val="0"/>
          <w:lang w:val="en-US" w:eastAsia="zh-CN"/>
        </w:rPr>
        <w:t>4</w:t>
      </w:r>
      <w:r>
        <w:rPr>
          <w:kern w:val="0"/>
        </w:rPr>
        <w:t>）</w:t>
      </w:r>
    </w:p>
    <w:p w14:paraId="73A662A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r>
        <w:rPr>
          <w:kern w:val="0"/>
        </w:rPr>
        <w:t>式</w:t>
      </w:r>
      <w:r>
        <w:rPr>
          <w:rFonts w:hint="eastAsia"/>
          <w:kern w:val="0"/>
        </w:rPr>
        <w:t>中</w:t>
      </w:r>
      <w:r>
        <w:rPr>
          <w:rFonts w:hint="eastAsia" w:eastAsia="宋体"/>
          <w:kern w:val="0"/>
          <w:lang w:eastAsia="zh-CN"/>
        </w:rPr>
        <w:t>：</w:t>
      </w:r>
    </w:p>
    <w:p w14:paraId="5F800271">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rFonts w:ascii="宋体" w:hAnsi="宋体"/>
          <w:kern w:val="0"/>
          <w:position w:val="-12"/>
        </w:rPr>
        <w:object>
          <v:shape id="_x0000_i1035" o:spt="75" type="#_x0000_t75" style="height:18.1pt;width:12.5pt;" o:ole="t" filled="f" o:preferrelative="t" stroked="f" coordsize="21600,21600">
            <v:path/>
            <v:fill on="f" focussize="0,0"/>
            <v:stroke on="f"/>
            <v:imagedata r:id="rId49" o:title=""/>
            <o:lock v:ext="edit" aspectratio="t"/>
            <w10:wrap type="none"/>
            <w10:anchorlock/>
          </v:shape>
          <o:OLEObject Type="Embed" ProgID="Equation.3" ShapeID="_x0000_i1035" DrawAspect="Content" ObjectID="_1468075735" r:id="rId48">
            <o:LockedField>false</o:LockedField>
          </o:OLEObject>
        </w:object>
      </w:r>
      <w:r>
        <w:rPr>
          <w:kern w:val="0"/>
        </w:rPr>
        <w:t>——</w:t>
      </w:r>
      <w:r>
        <w:rPr>
          <w:rFonts w:hint="eastAsia"/>
          <w:kern w:val="0"/>
          <w:lang w:eastAsia="zh-CN"/>
        </w:rPr>
        <w:t>甲状腺碘测量仪对</w:t>
      </w:r>
      <w:r>
        <w:rPr>
          <w:rFonts w:hint="eastAsia"/>
          <w:i/>
          <w:iCs/>
          <w:kern w:val="0"/>
          <w:lang w:val="en-US" w:eastAsia="zh-CN"/>
        </w:rPr>
        <w:t>i</w:t>
      </w:r>
      <w:r>
        <w:rPr>
          <w:rFonts w:hint="eastAsia"/>
          <w:kern w:val="0"/>
          <w:lang w:val="en-US" w:eastAsia="zh-CN"/>
        </w:rPr>
        <w:t>核素的活度响应</w:t>
      </w:r>
      <w:r>
        <w:rPr>
          <w:rFonts w:hint="eastAsia"/>
          <w:kern w:val="0"/>
        </w:rPr>
        <w:t>，</w:t>
      </w:r>
      <w:r>
        <w:rPr>
          <w:rFonts w:ascii="宋体" w:hAnsi="宋体"/>
          <w:kern w:val="0"/>
          <w:position w:val="-10"/>
        </w:rPr>
        <w:object>
          <v:shape id="_x0000_i1036" o:spt="75" type="#_x0000_t75" style="height:18.15pt;width:43.95pt;" o:ole="t" filled="f" o:preferrelative="t" stroked="f" coordsize="21600,21600">
            <v:path/>
            <v:fill on="f" focussize="0,0"/>
            <v:stroke on="f"/>
            <v:imagedata r:id="rId51" o:title=""/>
            <o:lock v:ext="edit" aspectratio="t"/>
            <w10:wrap type="none"/>
            <w10:anchorlock/>
          </v:shape>
          <o:OLEObject Type="Embed" ProgID="Equation.3" ShapeID="_x0000_i1036" DrawAspect="Content" ObjectID="_1468075736" r:id="rId50">
            <o:LockedField>false</o:LockedField>
          </o:OLEObject>
        </w:object>
      </w:r>
      <w:r>
        <w:rPr>
          <w:kern w:val="0"/>
        </w:rPr>
        <w:t>；</w:t>
      </w:r>
    </w:p>
    <w:p w14:paraId="10556769">
      <w:pPr>
        <w:keepNext w:val="0"/>
        <w:keepLines w:val="0"/>
        <w:pageBreakBefore w:val="0"/>
        <w:widowControl/>
        <w:kinsoku/>
        <w:wordWrap/>
        <w:overflowPunct/>
        <w:topLinePunct w:val="0"/>
        <w:autoSpaceDE/>
        <w:autoSpaceDN/>
        <w:bidi w:val="0"/>
        <w:adjustRightInd/>
        <w:snapToGrid/>
        <w:spacing w:line="480" w:lineRule="exact"/>
        <w:jc w:val="left"/>
        <w:textAlignment w:val="auto"/>
        <w:rPr>
          <w:kern w:val="0"/>
        </w:rPr>
      </w:pPr>
      <w:r>
        <w:rPr>
          <w:rFonts w:ascii="宋体" w:hAnsi="宋体"/>
          <w:kern w:val="0"/>
          <w:position w:val="-12"/>
        </w:rPr>
        <w:object>
          <v:shape id="_x0000_i1037" o:spt="75" type="#_x0000_t75" style="height:20.15pt;width:13.6pt;" o:ole="t" filled="f" o:preferrelative="t" stroked="f" coordsize="21600,21600">
            <v:path/>
            <v:fill on="f" focussize="0,0"/>
            <v:stroke on="f"/>
            <v:imagedata r:id="rId53" o:title=""/>
            <o:lock v:ext="edit" aspectratio="t"/>
            <w10:wrap type="none"/>
            <w10:anchorlock/>
          </v:shape>
          <o:OLEObject Type="Embed" ProgID="Equation.3" ShapeID="_x0000_i1037" DrawAspect="Content" ObjectID="_1468075737" r:id="rId52">
            <o:LockedField>false</o:LockedField>
          </o:OLEObject>
        </w:object>
      </w:r>
      <w:r>
        <w:rPr>
          <w:kern w:val="0"/>
        </w:rPr>
        <w:t>——</w:t>
      </w:r>
      <w:r>
        <w:rPr>
          <w:rFonts w:hint="eastAsia"/>
          <w:i/>
          <w:iCs/>
          <w:kern w:val="0"/>
          <w:lang w:val="en-US" w:eastAsia="zh-CN"/>
        </w:rPr>
        <w:t>i</w:t>
      </w:r>
      <w:r>
        <w:rPr>
          <w:rFonts w:hint="eastAsia"/>
          <w:kern w:val="0"/>
          <w:lang w:val="en-US" w:eastAsia="zh-CN"/>
        </w:rPr>
        <w:t>核素的全能峰计数率3次测量值的算术平均值</w:t>
      </w:r>
      <w:r>
        <w:rPr>
          <w:rFonts w:hint="eastAsia"/>
          <w:kern w:val="0"/>
        </w:rPr>
        <w:t>，</w:t>
      </w:r>
      <w:r>
        <w:rPr>
          <w:rFonts w:ascii="宋体" w:hAnsi="宋体"/>
          <w:kern w:val="0"/>
          <w:position w:val="-6"/>
        </w:rPr>
        <w:object>
          <v:shape id="_x0000_i1038"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38" DrawAspect="Content" ObjectID="_1468075738" r:id="rId54">
            <o:LockedField>false</o:LockedField>
          </o:OLEObject>
        </w:object>
      </w:r>
      <w:r>
        <w:rPr>
          <w:kern w:val="0"/>
        </w:rPr>
        <w:t>；</w:t>
      </w:r>
    </w:p>
    <w:p w14:paraId="5C26AA10">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rPr>
      </w:pPr>
      <w:r>
        <w:rPr>
          <w:rFonts w:ascii="宋体" w:hAnsi="宋体"/>
          <w:kern w:val="0"/>
          <w:position w:val="-12"/>
        </w:rPr>
        <w:object>
          <v:shape id="_x0000_i1039" o:spt="75" type="#_x0000_t75" style="height:18.1pt;width:15.7pt;" o:ole="t" filled="f" o:preferrelative="t" stroked="f" coordsize="21600,21600">
            <v:path/>
            <v:fill on="f" focussize="0,0"/>
            <v:stroke on="f"/>
            <v:imagedata r:id="rId57" o:title=""/>
            <o:lock v:ext="edit" aspectratio="t"/>
            <w10:wrap type="none"/>
            <w10:anchorlock/>
          </v:shape>
          <o:OLEObject Type="Embed" ProgID="Equation.3" ShapeID="_x0000_i1039" DrawAspect="Content" ObjectID="_1468075739" r:id="rId56">
            <o:LockedField>false</o:LockedField>
          </o:OLEObject>
        </w:object>
      </w:r>
      <w:r>
        <w:rPr>
          <w:kern w:val="0"/>
        </w:rPr>
        <w:t>——</w:t>
      </w:r>
      <w:r>
        <w:rPr>
          <w:rFonts w:hint="eastAsia"/>
          <w:kern w:val="0"/>
          <w:lang w:eastAsia="zh-CN"/>
        </w:rPr>
        <w:t>本底谱中</w:t>
      </w:r>
      <w:r>
        <w:rPr>
          <w:rFonts w:hint="eastAsia"/>
          <w:i/>
          <w:iCs/>
          <w:kern w:val="0"/>
          <w:lang w:val="en-US" w:eastAsia="zh-CN"/>
        </w:rPr>
        <w:t>i</w:t>
      </w:r>
      <w:r>
        <w:rPr>
          <w:rFonts w:hint="eastAsia"/>
          <w:kern w:val="0"/>
          <w:lang w:val="en-US" w:eastAsia="zh-CN"/>
        </w:rPr>
        <w:t>核素的全能峰区域的计数率</w:t>
      </w:r>
      <w:r>
        <w:rPr>
          <w:rFonts w:hint="eastAsia"/>
          <w:kern w:val="0"/>
        </w:rPr>
        <w:t>，</w:t>
      </w:r>
      <w:r>
        <w:rPr>
          <w:rFonts w:ascii="宋体" w:hAnsi="宋体"/>
          <w:kern w:val="0"/>
          <w:position w:val="-6"/>
        </w:rPr>
        <w:object>
          <v:shape id="_x0000_i1040"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40" DrawAspect="Content" ObjectID="_1468075740" r:id="rId58">
            <o:LockedField>false</o:LockedField>
          </o:OLEObject>
        </w:object>
      </w:r>
      <w:r>
        <w:rPr>
          <w:kern w:val="0"/>
        </w:rPr>
        <w:t>；</w:t>
      </w:r>
    </w:p>
    <w:p w14:paraId="5BA82F72">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lang w:eastAsia="zh-CN"/>
        </w:rPr>
      </w:pPr>
      <w:r>
        <w:rPr>
          <w:rFonts w:ascii="宋体" w:hAnsi="宋体"/>
          <w:kern w:val="0"/>
          <w:position w:val="-12"/>
        </w:rPr>
        <w:object>
          <v:shape id="_x0000_i1041" o:spt="75" type="#_x0000_t75" style="height:18.1pt;width:17pt;" o:ole="t" filled="f" o:preferrelative="t" stroked="f" coordsize="21600,21600">
            <v:path/>
            <v:fill on="f" focussize="0,0"/>
            <v:stroke on="f"/>
            <v:imagedata r:id="rId60" o:title=""/>
            <o:lock v:ext="edit" aspectratio="t"/>
            <w10:wrap type="none"/>
            <w10:anchorlock/>
          </v:shape>
          <o:OLEObject Type="Embed" ProgID="Equation.3" ShapeID="_x0000_i1041" DrawAspect="Content" ObjectID="_1468075741" r:id="rId59">
            <o:LockedField>false</o:LockedField>
          </o:OLEObject>
        </w:object>
      </w:r>
      <w:r>
        <w:rPr>
          <w:kern w:val="0"/>
        </w:rPr>
        <w:t>——</w:t>
      </w:r>
      <w:r>
        <w:rPr>
          <w:rFonts w:hint="eastAsia"/>
          <w:kern w:val="0"/>
          <w:lang w:val="en-US" w:eastAsia="zh-CN"/>
        </w:rPr>
        <w:t>标准</w:t>
      </w:r>
      <w:r>
        <w:rPr>
          <w:rFonts w:hint="eastAsia"/>
          <w:kern w:val="0"/>
          <w:lang w:eastAsia="zh-CN"/>
        </w:rPr>
        <w:t>溶液中</w:t>
      </w:r>
      <w:r>
        <w:rPr>
          <w:rFonts w:hint="eastAsia"/>
          <w:i/>
          <w:iCs/>
          <w:kern w:val="0"/>
          <w:lang w:val="en-US" w:eastAsia="zh-CN"/>
        </w:rPr>
        <w:t>i</w:t>
      </w:r>
      <w:r>
        <w:rPr>
          <w:rFonts w:hint="eastAsia"/>
          <w:kern w:val="0"/>
          <w:lang w:val="en-US" w:eastAsia="zh-CN"/>
        </w:rPr>
        <w:t>核素的活度值</w:t>
      </w:r>
      <w:r>
        <w:rPr>
          <w:rFonts w:hint="eastAsia"/>
          <w:kern w:val="0"/>
          <w:lang w:eastAsia="zh-CN"/>
        </w:rPr>
        <w:t>（修正到测量时间），</w:t>
      </w:r>
      <w:r>
        <w:rPr>
          <w:rFonts w:hint="eastAsia"/>
          <w:kern w:val="0"/>
          <w:lang w:val="en-US" w:eastAsia="zh-CN"/>
        </w:rPr>
        <w:t>Bq</w:t>
      </w:r>
      <w:r>
        <w:rPr>
          <w:rFonts w:hint="eastAsia"/>
          <w:kern w:val="0"/>
          <w:lang w:eastAsia="zh-CN"/>
        </w:rPr>
        <w:t>。</w:t>
      </w:r>
    </w:p>
    <w:p w14:paraId="58C2E4E7">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kern w:val="0"/>
          <w:lang w:val="en-US" w:eastAsia="zh-CN"/>
        </w:rPr>
      </w:pPr>
      <w:r>
        <w:rPr>
          <w:rFonts w:hint="eastAsia"/>
          <w:kern w:val="0"/>
          <w:lang w:val="en-US" w:eastAsia="zh-CN"/>
        </w:rPr>
        <w:t>对于直接以活度值显示测量结果的甲状腺碘测量仪，按公式（5）计算活度示值误差。</w:t>
      </w:r>
    </w:p>
    <w:p w14:paraId="502312B6">
      <w:pPr>
        <w:keepNext w:val="0"/>
        <w:keepLines w:val="0"/>
        <w:pageBreakBefore w:val="0"/>
        <w:widowControl/>
        <w:kinsoku/>
        <w:wordWrap/>
        <w:overflowPunct/>
        <w:topLinePunct w:val="0"/>
        <w:autoSpaceDE/>
        <w:autoSpaceDN/>
        <w:bidi w:val="0"/>
        <w:adjustRightInd/>
        <w:snapToGrid/>
        <w:spacing w:line="240" w:lineRule="auto"/>
        <w:ind w:right="0" w:firstLine="0" w:firstLineChars="0"/>
        <w:jc w:val="right"/>
        <w:textAlignment w:val="auto"/>
        <w:rPr>
          <w:rFonts w:hint="eastAsia" w:ascii="宋体" w:hAnsi="宋体" w:cs="宋体"/>
          <w:kern w:val="0"/>
        </w:rPr>
      </w:pPr>
      <w:r>
        <w:rPr>
          <w:rFonts w:ascii="宋体" w:hAnsi="宋体"/>
          <w:kern w:val="0"/>
          <w:position w:val="-30"/>
        </w:rPr>
        <w:object>
          <v:shape id="_x0000_i1042" o:spt="75" alt="" type="#_x0000_t75" style="height:37.2pt;width:96pt;" o:ole="t" filled="f" o:preferrelative="t" stroked="f" coordsize="21600,21600">
            <v:path/>
            <v:fill on="f" focussize="0,0"/>
            <v:stroke on="f"/>
            <v:imagedata r:id="rId62" o:title=""/>
            <o:lock v:ext="edit" aspectratio="t"/>
            <w10:wrap type="none"/>
            <w10:anchorlock/>
          </v:shape>
          <o:OLEObject Type="Embed" ProgID="Equation.3" ShapeID="_x0000_i1042" DrawAspect="Content" ObjectID="_1468075742" r:id="rId61">
            <o:LockedField>false</o:LockedField>
          </o:OLEObject>
        </w:object>
      </w:r>
      <w:r>
        <w:rPr>
          <w:rFonts w:hint="eastAsia" w:ascii="宋体" w:hAnsi="宋体"/>
          <w:kern w:val="0"/>
        </w:rPr>
        <w:t xml:space="preserve">  </w:t>
      </w:r>
      <w:r>
        <w:rPr>
          <w:rFonts w:hint="eastAsia" w:ascii="宋体" w:hAnsi="宋体"/>
          <w:kern w:val="0"/>
          <w:lang w:val="en-US" w:eastAsia="zh-CN"/>
        </w:rPr>
        <w:t xml:space="preserve">   </w:t>
      </w:r>
      <w:r>
        <w:rPr>
          <w:rFonts w:hint="eastAsia" w:ascii="宋体" w:hAnsi="宋体"/>
          <w:kern w:val="0"/>
        </w:rPr>
        <w:t xml:space="preserve">           </w:t>
      </w:r>
      <w:bookmarkStart w:id="102" w:name="_GoBack"/>
      <w:bookmarkEnd w:id="102"/>
      <w:r>
        <w:rPr>
          <w:rFonts w:hint="eastAsia" w:ascii="宋体" w:hAnsi="宋体"/>
          <w:kern w:val="0"/>
        </w:rPr>
        <w:t xml:space="preserve">  </w:t>
      </w:r>
      <w:r>
        <w:rPr>
          <w:rFonts w:hint="eastAsia" w:ascii="宋体" w:hAnsi="宋体" w:cs="宋体"/>
          <w:kern w:val="0"/>
        </w:rPr>
        <w:t xml:space="preserve">        </w:t>
      </w:r>
      <w:r>
        <w:rPr>
          <w:kern w:val="0"/>
        </w:rPr>
        <w:t>（</w:t>
      </w:r>
      <w:r>
        <w:rPr>
          <w:rFonts w:hint="eastAsia"/>
          <w:kern w:val="0"/>
          <w:lang w:val="en-US" w:eastAsia="zh-CN"/>
        </w:rPr>
        <w:t>5</w:t>
      </w:r>
      <w:r>
        <w:rPr>
          <w:kern w:val="0"/>
        </w:rPr>
        <w:t>）</w:t>
      </w:r>
    </w:p>
    <w:p w14:paraId="5B7DD1E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r>
        <w:rPr>
          <w:kern w:val="0"/>
        </w:rPr>
        <w:t>式</w:t>
      </w:r>
      <w:r>
        <w:rPr>
          <w:rFonts w:hint="eastAsia"/>
          <w:kern w:val="0"/>
        </w:rPr>
        <w:t>中</w:t>
      </w:r>
      <w:r>
        <w:rPr>
          <w:rFonts w:hint="eastAsia" w:eastAsia="宋体"/>
          <w:kern w:val="0"/>
          <w:lang w:eastAsia="zh-CN"/>
        </w:rPr>
        <w:t>：</w:t>
      </w:r>
    </w:p>
    <w:p w14:paraId="0B878B7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rFonts w:ascii="宋体" w:hAnsi="宋体"/>
          <w:kern w:val="0"/>
          <w:position w:val="-12"/>
        </w:rPr>
        <w:object>
          <v:shape id="_x0000_i1043" o:spt="75" type="#_x0000_t75" style="height:18.2pt;width:12pt;" o:ole="t" filled="f" o:preferrelative="t" stroked="f" coordsize="21600,21600">
            <v:path/>
            <v:fill on="f" focussize="0,0"/>
            <v:stroke on="f"/>
            <v:imagedata r:id="rId64" o:title=""/>
            <o:lock v:ext="edit" aspectratio="t"/>
            <w10:wrap type="none"/>
            <w10:anchorlock/>
          </v:shape>
          <o:OLEObject Type="Embed" ProgID="Equation.3" ShapeID="_x0000_i1043" DrawAspect="Content" ObjectID="_1468075743" r:id="rId63">
            <o:LockedField>false</o:LockedField>
          </o:OLEObject>
        </w:object>
      </w:r>
      <w:r>
        <w:rPr>
          <w:kern w:val="0"/>
        </w:rPr>
        <w:t>——</w:t>
      </w:r>
      <w:r>
        <w:rPr>
          <w:rFonts w:hint="eastAsia"/>
          <w:kern w:val="0"/>
          <w:lang w:eastAsia="zh-CN"/>
        </w:rPr>
        <w:t>甲状腺碘测量仪对</w:t>
      </w:r>
      <w:r>
        <w:rPr>
          <w:rFonts w:hint="eastAsia"/>
          <w:i/>
          <w:iCs/>
          <w:kern w:val="0"/>
          <w:lang w:val="en-US" w:eastAsia="zh-CN"/>
        </w:rPr>
        <w:t>i</w:t>
      </w:r>
      <w:r>
        <w:rPr>
          <w:rFonts w:hint="eastAsia"/>
          <w:kern w:val="0"/>
          <w:lang w:val="en-US" w:eastAsia="zh-CN"/>
        </w:rPr>
        <w:t>核素</w:t>
      </w:r>
      <w:r>
        <w:rPr>
          <w:rFonts w:hint="eastAsia"/>
          <w:kern w:val="0"/>
          <w:lang w:eastAsia="zh-CN"/>
        </w:rPr>
        <w:t>的活度示值误差</w:t>
      </w:r>
      <w:r>
        <w:rPr>
          <w:rFonts w:hint="eastAsia"/>
          <w:kern w:val="0"/>
        </w:rPr>
        <w:t>，%</w:t>
      </w:r>
      <w:r>
        <w:rPr>
          <w:kern w:val="0"/>
        </w:rPr>
        <w:t>；</w:t>
      </w:r>
    </w:p>
    <w:p w14:paraId="1702D5BB">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lang w:eastAsia="zh-CN"/>
        </w:rPr>
      </w:pPr>
      <w:r>
        <w:rPr>
          <w:rFonts w:ascii="宋体" w:hAnsi="宋体"/>
          <w:kern w:val="0"/>
          <w:position w:val="-6"/>
        </w:rPr>
        <w:object>
          <v:shape id="_x0000_i1098" o:spt="75" alt="" type="#_x0000_t75" style="height:17.1pt;width:13.95pt;" o:ole="t" filled="f" o:preferrelative="t" stroked="f" coordsize="21600,21600">
            <v:path/>
            <v:fill on="f" focussize="0,0"/>
            <v:stroke on="f"/>
            <v:imagedata r:id="rId66" o:title=""/>
            <o:lock v:ext="edit" aspectratio="t"/>
            <w10:wrap type="none"/>
            <w10:anchorlock/>
          </v:shape>
          <o:OLEObject Type="Embed" ProgID="Equation.3" ShapeID="_x0000_i1098" DrawAspect="Content" ObjectID="_1468075744" r:id="rId65">
            <o:LockedField>false</o:LockedField>
          </o:OLEObject>
        </w:object>
      </w:r>
      <w:r>
        <w:rPr>
          <w:kern w:val="0"/>
        </w:rPr>
        <w:t>——</w:t>
      </w:r>
      <w:r>
        <w:rPr>
          <w:rFonts w:hint="eastAsia"/>
          <w:i/>
          <w:iCs/>
          <w:kern w:val="0"/>
          <w:lang w:val="en-US" w:eastAsia="zh-CN"/>
        </w:rPr>
        <w:t>i</w:t>
      </w:r>
      <w:r>
        <w:rPr>
          <w:rFonts w:hint="eastAsia"/>
          <w:kern w:val="0"/>
          <w:lang w:val="en-US" w:eastAsia="zh-CN"/>
        </w:rPr>
        <w:t>核素</w:t>
      </w:r>
      <w:r>
        <w:rPr>
          <w:rFonts w:hint="eastAsia"/>
          <w:kern w:val="0"/>
          <w:lang w:eastAsia="zh-CN"/>
        </w:rPr>
        <w:t>活度</w:t>
      </w:r>
      <w:r>
        <w:rPr>
          <w:rFonts w:hint="eastAsia"/>
          <w:kern w:val="0"/>
          <w:lang w:val="en-US" w:eastAsia="zh-CN"/>
        </w:rPr>
        <w:t>3次测量值的算术平均值</w:t>
      </w:r>
      <w:r>
        <w:rPr>
          <w:rFonts w:hint="eastAsia"/>
          <w:kern w:val="0"/>
        </w:rPr>
        <w:t>，</w:t>
      </w:r>
      <w:r>
        <w:rPr>
          <w:rFonts w:hint="eastAsia"/>
          <w:kern w:val="0"/>
          <w:lang w:val="en-US" w:eastAsia="zh-CN"/>
        </w:rPr>
        <w:t>Bq</w:t>
      </w:r>
      <w:r>
        <w:rPr>
          <w:rFonts w:hint="eastAsia"/>
          <w:kern w:val="0"/>
          <w:lang w:eastAsia="zh-CN"/>
        </w:rPr>
        <w:t>。</w:t>
      </w:r>
    </w:p>
    <w:p w14:paraId="0AFB7EEB">
      <w:pPr>
        <w:keepNext w:val="0"/>
        <w:keepLines w:val="0"/>
        <w:pageBreakBefore w:val="0"/>
        <w:widowControl/>
        <w:kinsoku/>
        <w:wordWrap/>
        <w:overflowPunct/>
        <w:topLinePunct w:val="0"/>
        <w:autoSpaceDE w:val="0"/>
        <w:autoSpaceDN w:val="0"/>
        <w:bidi w:val="0"/>
        <w:adjustRightInd w:val="0"/>
        <w:snapToGrid/>
        <w:spacing w:line="480" w:lineRule="exact"/>
        <w:ind w:left="0" w:leftChars="0" w:firstLine="0" w:firstLineChars="0"/>
        <w:jc w:val="left"/>
        <w:textAlignment w:val="auto"/>
        <w:rPr>
          <w:rFonts w:hint="default"/>
          <w:color w:val="auto"/>
          <w:kern w:val="0"/>
          <w:lang w:val="en-US" w:eastAsia="zh-CN"/>
        </w:rPr>
      </w:pPr>
      <w:r>
        <w:rPr>
          <w:rFonts w:hint="eastAsia"/>
          <w:color w:val="auto"/>
          <w:kern w:val="0"/>
          <w:lang w:val="en-US" w:eastAsia="zh-CN"/>
        </w:rPr>
        <w:t>7.6.2  计数型</w:t>
      </w:r>
      <w:r>
        <w:rPr>
          <w:rFonts w:hint="eastAsia" w:ascii="Times New Roman" w:hAnsi="Times New Roman" w:cs="Times New Roman" w:eastAsiaTheme="minorEastAsia"/>
          <w:bCs/>
          <w:color w:val="auto"/>
          <w:sz w:val="24"/>
          <w:szCs w:val="28"/>
          <w:lang w:eastAsia="zh-CN"/>
        </w:rPr>
        <w:t>甲状腺碘测量仪</w:t>
      </w:r>
    </w:p>
    <w:p w14:paraId="23F4A667">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color w:val="auto"/>
          <w:kern w:val="0"/>
          <w:lang w:val="en-US" w:eastAsia="zh-CN"/>
        </w:rPr>
      </w:pPr>
      <w:r>
        <w:rPr>
          <w:rFonts w:hint="eastAsia"/>
          <w:color w:val="auto"/>
          <w:kern w:val="0"/>
          <w:lang w:eastAsia="zh-CN"/>
        </w:rPr>
        <w:t>将活度已知的</w:t>
      </w:r>
      <w:r>
        <w:rPr>
          <w:rFonts w:hint="eastAsia"/>
          <w:color w:val="auto"/>
          <w:kern w:val="0"/>
          <w:vertAlign w:val="superscript"/>
          <w:lang w:val="en-US" w:eastAsia="zh-CN"/>
        </w:rPr>
        <w:t>131</w:t>
      </w:r>
      <w:r>
        <w:rPr>
          <w:rFonts w:hint="eastAsia"/>
          <w:color w:val="auto"/>
          <w:kern w:val="0"/>
          <w:lang w:val="en-US" w:eastAsia="zh-CN"/>
        </w:rPr>
        <w:t>I</w:t>
      </w:r>
      <w:r>
        <w:rPr>
          <w:rFonts w:hint="eastAsia"/>
          <w:color w:val="auto"/>
          <w:lang w:val="en-US" w:eastAsia="zh-CN"/>
        </w:rPr>
        <w:t>或</w:t>
      </w:r>
      <w:r>
        <w:rPr>
          <w:rFonts w:hint="eastAsia"/>
          <w:color w:val="auto"/>
          <w:vertAlign w:val="superscript"/>
          <w:lang w:val="en-US" w:eastAsia="zh-CN"/>
        </w:rPr>
        <w:t>125</w:t>
      </w:r>
      <w:r>
        <w:rPr>
          <w:rFonts w:hint="eastAsia"/>
          <w:color w:val="auto"/>
          <w:lang w:val="en-US" w:eastAsia="zh-CN"/>
        </w:rPr>
        <w:t>I</w:t>
      </w:r>
      <w:r>
        <w:rPr>
          <w:rFonts w:hint="eastAsia"/>
          <w:color w:val="auto"/>
          <w:kern w:val="0"/>
          <w:lang w:val="en-US" w:eastAsia="zh-CN"/>
        </w:rPr>
        <w:t>标准溶液放置于颈部模体的标准源放置孔中，模体放置在可调节支架上，通过调节支架和甲状腺碘测量仪的相对位置，使放置孔位于探测器正前方合适的位置（与被检仪器日常测量条件保持一致），设置合适的测量时间，待计数稳定后，记录总计数率，重复测量3次，按公式（6）计算活度响应。</w:t>
      </w:r>
    </w:p>
    <w:p w14:paraId="07C36C06">
      <w:pPr>
        <w:keepNext w:val="0"/>
        <w:keepLines w:val="0"/>
        <w:pageBreakBefore w:val="0"/>
        <w:widowControl/>
        <w:kinsoku/>
        <w:wordWrap/>
        <w:overflowPunct/>
        <w:topLinePunct w:val="0"/>
        <w:autoSpaceDE/>
        <w:autoSpaceDN/>
        <w:bidi w:val="0"/>
        <w:adjustRightInd/>
        <w:snapToGrid/>
        <w:spacing w:line="240" w:lineRule="auto"/>
        <w:ind w:right="0" w:firstLine="0" w:firstLineChars="0"/>
        <w:jc w:val="right"/>
        <w:textAlignment w:val="auto"/>
        <w:rPr>
          <w:rFonts w:hint="eastAsia" w:ascii="宋体" w:hAnsi="宋体" w:cs="宋体"/>
          <w:kern w:val="0"/>
        </w:rPr>
      </w:pPr>
      <w:r>
        <w:rPr>
          <w:rFonts w:ascii="宋体" w:hAnsi="宋体"/>
          <w:kern w:val="0"/>
          <w:position w:val="-30"/>
        </w:rPr>
        <w:object>
          <v:shape id="_x0000_i1044" o:spt="75" type="#_x0000_t75" style="height:37.2pt;width:50.8pt;" o:ole="t" filled="f" o:preferrelative="t" stroked="f" coordsize="21600,21600">
            <v:path/>
            <v:fill on="f" focussize="0,0"/>
            <v:stroke on="f"/>
            <v:imagedata r:id="rId68" o:title=""/>
            <o:lock v:ext="edit" aspectratio="t"/>
            <w10:wrap type="none"/>
            <w10:anchorlock/>
          </v:shape>
          <o:OLEObject Type="Embed" ProgID="Equation.3" ShapeID="_x0000_i1044" DrawAspect="Content" ObjectID="_1468075745" r:id="rId67">
            <o:LockedField>false</o:LockedField>
          </o:OLEObject>
        </w:object>
      </w:r>
      <w:r>
        <w:rPr>
          <w:rFonts w:hint="eastAsia" w:ascii="宋体" w:hAnsi="宋体"/>
          <w:kern w:val="0"/>
        </w:rPr>
        <w:t xml:space="preserve">  </w:t>
      </w:r>
      <w:r>
        <w:rPr>
          <w:rFonts w:hint="eastAsia" w:ascii="宋体" w:hAnsi="宋体"/>
          <w:kern w:val="0"/>
          <w:lang w:val="en-US" w:eastAsia="zh-CN"/>
        </w:rPr>
        <w:t xml:space="preserve">   </w:t>
      </w:r>
      <w:r>
        <w:rPr>
          <w:rFonts w:hint="eastAsia" w:ascii="宋体" w:hAnsi="宋体"/>
          <w:kern w:val="0"/>
        </w:rPr>
        <w:t xml:space="preserve">             </w:t>
      </w:r>
      <w:r>
        <w:rPr>
          <w:rFonts w:hint="eastAsia" w:ascii="宋体" w:hAnsi="宋体" w:cs="宋体"/>
          <w:kern w:val="0"/>
        </w:rPr>
        <w:t xml:space="preserve">        </w:t>
      </w:r>
      <w:r>
        <w:rPr>
          <w:kern w:val="0"/>
        </w:rPr>
        <w:t>（</w:t>
      </w:r>
      <w:r>
        <w:rPr>
          <w:rFonts w:hint="eastAsia"/>
          <w:kern w:val="0"/>
          <w:lang w:val="en-US" w:eastAsia="zh-CN"/>
        </w:rPr>
        <w:t>6</w:t>
      </w:r>
      <w:r>
        <w:rPr>
          <w:kern w:val="0"/>
        </w:rPr>
        <w:t>）</w:t>
      </w:r>
    </w:p>
    <w:p w14:paraId="2974BF4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r>
        <w:rPr>
          <w:kern w:val="0"/>
        </w:rPr>
        <w:t>式</w:t>
      </w:r>
      <w:r>
        <w:rPr>
          <w:rFonts w:hint="eastAsia"/>
          <w:kern w:val="0"/>
        </w:rPr>
        <w:t>中</w:t>
      </w:r>
      <w:r>
        <w:rPr>
          <w:rFonts w:hint="eastAsia" w:eastAsia="宋体"/>
          <w:kern w:val="0"/>
          <w:lang w:eastAsia="zh-CN"/>
        </w:rPr>
        <w:t>：</w:t>
      </w:r>
    </w:p>
    <w:p w14:paraId="145AA86A">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rFonts w:ascii="宋体" w:hAnsi="宋体"/>
          <w:kern w:val="0"/>
          <w:position w:val="-10"/>
        </w:rPr>
        <w:object>
          <v:shape id="_x0000_i1045" o:spt="75" type="#_x0000_t75" style="height:13.1pt;width:10.5pt;" o:ole="t" filled="f" o:preferrelative="t" stroked="f" coordsize="21600,21600">
            <v:path/>
            <v:fill on="f" focussize="0,0"/>
            <v:stroke on="f"/>
            <v:imagedata r:id="rId70" o:title=""/>
            <o:lock v:ext="edit" aspectratio="t"/>
            <w10:wrap type="none"/>
            <w10:anchorlock/>
          </v:shape>
          <o:OLEObject Type="Embed" ProgID="Equation.3" ShapeID="_x0000_i1045" DrawAspect="Content" ObjectID="_1468075746" r:id="rId69">
            <o:LockedField>false</o:LockedField>
          </o:OLEObject>
        </w:object>
      </w:r>
      <w:r>
        <w:rPr>
          <w:kern w:val="0"/>
        </w:rPr>
        <w:t>——</w:t>
      </w:r>
      <w:r>
        <w:rPr>
          <w:rFonts w:hint="eastAsia"/>
          <w:kern w:val="0"/>
          <w:lang w:eastAsia="zh-CN"/>
        </w:rPr>
        <w:t>甲状腺碘测量仪对被测</w:t>
      </w:r>
      <w:r>
        <w:rPr>
          <w:rFonts w:hint="eastAsia"/>
          <w:kern w:val="0"/>
          <w:lang w:val="en-US" w:eastAsia="zh-CN"/>
        </w:rPr>
        <w:t>核素的活度响应</w:t>
      </w:r>
      <w:r>
        <w:rPr>
          <w:rFonts w:hint="eastAsia"/>
          <w:kern w:val="0"/>
        </w:rPr>
        <w:t>，</w:t>
      </w:r>
      <w:r>
        <w:rPr>
          <w:rFonts w:ascii="宋体" w:hAnsi="宋体"/>
          <w:kern w:val="0"/>
          <w:position w:val="-10"/>
        </w:rPr>
        <w:object>
          <v:shape id="_x0000_i1046" o:spt="75" type="#_x0000_t75" style="height:18.15pt;width:43.95pt;" o:ole="t" filled="f" o:preferrelative="t" stroked="f" coordsize="21600,21600">
            <v:path/>
            <v:fill on="f" focussize="0,0"/>
            <v:stroke on="f"/>
            <v:imagedata r:id="rId51" o:title=""/>
            <o:lock v:ext="edit" aspectratio="t"/>
            <w10:wrap type="none"/>
            <w10:anchorlock/>
          </v:shape>
          <o:OLEObject Type="Embed" ProgID="Equation.3" ShapeID="_x0000_i1046" DrawAspect="Content" ObjectID="_1468075747" r:id="rId71">
            <o:LockedField>false</o:LockedField>
          </o:OLEObject>
        </w:object>
      </w:r>
      <w:r>
        <w:rPr>
          <w:kern w:val="0"/>
        </w:rPr>
        <w:t>；</w:t>
      </w:r>
    </w:p>
    <w:p w14:paraId="4DC442C0">
      <w:pPr>
        <w:keepNext w:val="0"/>
        <w:keepLines w:val="0"/>
        <w:pageBreakBefore w:val="0"/>
        <w:widowControl/>
        <w:kinsoku/>
        <w:wordWrap/>
        <w:overflowPunct/>
        <w:topLinePunct w:val="0"/>
        <w:autoSpaceDE/>
        <w:autoSpaceDN/>
        <w:bidi w:val="0"/>
        <w:adjustRightInd/>
        <w:snapToGrid/>
        <w:spacing w:line="480" w:lineRule="exact"/>
        <w:jc w:val="left"/>
        <w:textAlignment w:val="auto"/>
        <w:rPr>
          <w:kern w:val="0"/>
        </w:rPr>
      </w:pPr>
      <w:r>
        <w:rPr>
          <w:rFonts w:ascii="宋体" w:hAnsi="宋体"/>
          <w:kern w:val="0"/>
          <w:position w:val="-6"/>
        </w:rPr>
        <w:object>
          <v:shape id="_x0000_i1047" o:spt="75" type="#_x0000_t75" style="height:17.15pt;width:10.5pt;" o:ole="t" filled="f" o:preferrelative="t" stroked="f" coordsize="21600,21600">
            <v:path/>
            <v:fill on="f" focussize="0,0"/>
            <v:stroke on="f"/>
            <v:imagedata r:id="rId73" o:title=""/>
            <o:lock v:ext="edit" aspectratio="t"/>
            <w10:wrap type="none"/>
            <w10:anchorlock/>
          </v:shape>
          <o:OLEObject Type="Embed" ProgID="Equation.3" ShapeID="_x0000_i1047" DrawAspect="Content" ObjectID="_1468075748" r:id="rId72">
            <o:LockedField>false</o:LockedField>
          </o:OLEObject>
        </w:object>
      </w:r>
      <w:r>
        <w:rPr>
          <w:kern w:val="0"/>
        </w:rPr>
        <w:t>——</w:t>
      </w:r>
      <w:r>
        <w:rPr>
          <w:rFonts w:hint="eastAsia"/>
          <w:kern w:val="0"/>
          <w:lang w:eastAsia="zh-CN"/>
        </w:rPr>
        <w:t>总</w:t>
      </w:r>
      <w:r>
        <w:rPr>
          <w:rFonts w:hint="eastAsia"/>
          <w:kern w:val="0"/>
          <w:lang w:val="en-US" w:eastAsia="zh-CN"/>
        </w:rPr>
        <w:t>计数率3次测量值的算术平均值</w:t>
      </w:r>
      <w:r>
        <w:rPr>
          <w:rFonts w:hint="eastAsia"/>
          <w:kern w:val="0"/>
        </w:rPr>
        <w:t>，</w:t>
      </w:r>
      <w:r>
        <w:rPr>
          <w:rFonts w:ascii="宋体" w:hAnsi="宋体"/>
          <w:kern w:val="0"/>
          <w:position w:val="-6"/>
        </w:rPr>
        <w:object>
          <v:shape id="_x0000_i1048"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48" DrawAspect="Content" ObjectID="_1468075749" r:id="rId74">
            <o:LockedField>false</o:LockedField>
          </o:OLEObject>
        </w:object>
      </w:r>
      <w:r>
        <w:rPr>
          <w:kern w:val="0"/>
        </w:rPr>
        <w:t>；</w:t>
      </w:r>
    </w:p>
    <w:p w14:paraId="795187A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rPr>
      </w:pPr>
      <w:r>
        <w:rPr>
          <w:rFonts w:ascii="宋体" w:hAnsi="宋体"/>
          <w:kern w:val="0"/>
          <w:position w:val="-12"/>
        </w:rPr>
        <w:object>
          <v:shape id="_x0000_i1049" o:spt="75" type="#_x0000_t75" style="height:18.1pt;width:13.65pt;" o:ole="t" filled="f" o:preferrelative="t" stroked="f" coordsize="21600,21600">
            <v:path/>
            <v:fill on="f" focussize="0,0"/>
            <v:stroke on="f"/>
            <v:imagedata r:id="rId76" o:title=""/>
            <o:lock v:ext="edit" aspectratio="t"/>
            <w10:wrap type="none"/>
            <w10:anchorlock/>
          </v:shape>
          <o:OLEObject Type="Embed" ProgID="Equation.3" ShapeID="_x0000_i1049" DrawAspect="Content" ObjectID="_1468075750" r:id="rId75">
            <o:LockedField>false</o:LockedField>
          </o:OLEObject>
        </w:object>
      </w:r>
      <w:r>
        <w:rPr>
          <w:kern w:val="0"/>
        </w:rPr>
        <w:t>——</w:t>
      </w:r>
      <w:r>
        <w:rPr>
          <w:rFonts w:hint="eastAsia"/>
          <w:kern w:val="0"/>
          <w:lang w:eastAsia="zh-CN"/>
        </w:rPr>
        <w:t>本底</w:t>
      </w:r>
      <w:r>
        <w:rPr>
          <w:rFonts w:hint="eastAsia"/>
          <w:kern w:val="0"/>
          <w:lang w:val="en-US" w:eastAsia="zh-CN"/>
        </w:rPr>
        <w:t>计数率</w:t>
      </w:r>
      <w:r>
        <w:rPr>
          <w:rFonts w:hint="eastAsia"/>
          <w:kern w:val="0"/>
        </w:rPr>
        <w:t>，</w:t>
      </w:r>
      <w:r>
        <w:rPr>
          <w:rFonts w:ascii="宋体" w:hAnsi="宋体"/>
          <w:kern w:val="0"/>
          <w:position w:val="-6"/>
        </w:rPr>
        <w:object>
          <v:shape id="_x0000_i1050"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50" DrawAspect="Content" ObjectID="_1468075751" r:id="rId77">
            <o:LockedField>false</o:LockedField>
          </o:OLEObject>
        </w:object>
      </w:r>
      <w:r>
        <w:rPr>
          <w:kern w:val="0"/>
        </w:rPr>
        <w:t>；</w:t>
      </w:r>
    </w:p>
    <w:p w14:paraId="35397DF7">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lang w:eastAsia="zh-CN"/>
        </w:rPr>
      </w:pPr>
      <w:r>
        <w:rPr>
          <w:rFonts w:ascii="宋体" w:hAnsi="宋体"/>
          <w:kern w:val="0"/>
          <w:position w:val="-12"/>
        </w:rPr>
        <w:object>
          <v:shape id="_x0000_i1051" o:spt="75" type="#_x0000_t75" style="height:18.1pt;width:15pt;" o:ole="t" filled="f" o:preferrelative="t" stroked="f" coordsize="21600,21600">
            <v:path/>
            <v:fill on="f" focussize="0,0"/>
            <v:stroke on="f"/>
            <v:imagedata r:id="rId79" o:title=""/>
            <o:lock v:ext="edit" aspectratio="t"/>
            <w10:wrap type="none"/>
            <w10:anchorlock/>
          </v:shape>
          <o:OLEObject Type="Embed" ProgID="Equation.3" ShapeID="_x0000_i1051" DrawAspect="Content" ObjectID="_1468075752" r:id="rId78">
            <o:LockedField>false</o:LockedField>
          </o:OLEObject>
        </w:object>
      </w:r>
      <w:r>
        <w:rPr>
          <w:kern w:val="0"/>
        </w:rPr>
        <w:t>——</w:t>
      </w:r>
      <w:r>
        <w:rPr>
          <w:rFonts w:hint="eastAsia"/>
          <w:kern w:val="0"/>
          <w:lang w:val="en-US" w:eastAsia="zh-CN"/>
        </w:rPr>
        <w:t>标准</w:t>
      </w:r>
      <w:r>
        <w:rPr>
          <w:rFonts w:hint="eastAsia"/>
          <w:kern w:val="0"/>
          <w:lang w:eastAsia="zh-CN"/>
        </w:rPr>
        <w:t>溶液中</w:t>
      </w:r>
      <w:r>
        <w:rPr>
          <w:rFonts w:hint="eastAsia"/>
          <w:i w:val="0"/>
          <w:iCs w:val="0"/>
          <w:kern w:val="0"/>
          <w:lang w:val="en-US" w:eastAsia="zh-CN"/>
        </w:rPr>
        <w:t>被测</w:t>
      </w:r>
      <w:r>
        <w:rPr>
          <w:rFonts w:hint="eastAsia"/>
          <w:kern w:val="0"/>
          <w:lang w:val="en-US" w:eastAsia="zh-CN"/>
        </w:rPr>
        <w:t>核素的活度值</w:t>
      </w:r>
      <w:r>
        <w:rPr>
          <w:rFonts w:hint="eastAsia"/>
          <w:kern w:val="0"/>
          <w:lang w:eastAsia="zh-CN"/>
        </w:rPr>
        <w:t>（修正到测量时间），</w:t>
      </w:r>
      <w:r>
        <w:rPr>
          <w:rFonts w:hint="eastAsia"/>
          <w:kern w:val="0"/>
          <w:lang w:val="en-US" w:eastAsia="zh-CN"/>
        </w:rPr>
        <w:t>Bq</w:t>
      </w:r>
      <w:r>
        <w:rPr>
          <w:rFonts w:hint="eastAsia"/>
          <w:kern w:val="0"/>
          <w:lang w:eastAsia="zh-CN"/>
        </w:rPr>
        <w:t>。</w:t>
      </w:r>
    </w:p>
    <w:p w14:paraId="4304C9C2">
      <w:pPr>
        <w:pStyle w:val="4"/>
        <w:pageBreakBefore w:val="0"/>
        <w:kinsoku/>
        <w:wordWrap/>
        <w:overflowPunct/>
        <w:topLinePunct w:val="0"/>
        <w:bidi w:val="0"/>
        <w:snapToGrid/>
        <w:spacing w:line="480" w:lineRule="exact"/>
        <w:textAlignment w:val="auto"/>
      </w:pPr>
      <w:bookmarkStart w:id="69" w:name="_Toc5555"/>
      <w:r>
        <w:t>7.</w:t>
      </w:r>
      <w:r>
        <w:rPr>
          <w:rFonts w:hint="eastAsia"/>
          <w:lang w:val="en-US" w:eastAsia="zh-CN"/>
        </w:rPr>
        <w:t>7</w:t>
      </w:r>
      <w:r>
        <w:t xml:space="preserve">  </w:t>
      </w:r>
      <w:r>
        <w:rPr>
          <w:rFonts w:hint="eastAsia"/>
          <w:lang w:eastAsia="zh-CN"/>
        </w:rPr>
        <w:t>重复性</w:t>
      </w:r>
      <w:bookmarkEnd w:id="69"/>
    </w:p>
    <w:p w14:paraId="52DBAD6E">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both"/>
        <w:textAlignment w:val="auto"/>
        <w:rPr>
          <w:rFonts w:hint="eastAsia"/>
          <w:lang w:val="en-US" w:eastAsia="zh-CN"/>
        </w:rPr>
      </w:pPr>
      <w:r>
        <w:rPr>
          <w:rFonts w:hint="eastAsia"/>
          <w:lang w:eastAsia="zh-CN"/>
        </w:rPr>
        <w:t>按照</w:t>
      </w:r>
      <w:r>
        <w:rPr>
          <w:rFonts w:hint="eastAsia"/>
          <w:lang w:val="en-US" w:eastAsia="zh-CN"/>
        </w:rPr>
        <w:t>7.6的测量方法，在重复性测量条件下连续测量</w:t>
      </w:r>
      <w:r>
        <w:rPr>
          <w:rFonts w:hint="eastAsia"/>
          <w:color w:val="auto"/>
          <w:kern w:val="0"/>
          <w:vertAlign w:val="superscript"/>
          <w:lang w:val="en-US" w:eastAsia="zh-CN"/>
        </w:rPr>
        <w:t>131</w:t>
      </w:r>
      <w:r>
        <w:rPr>
          <w:rFonts w:hint="eastAsia"/>
          <w:color w:val="auto"/>
          <w:kern w:val="0"/>
          <w:lang w:val="en-US" w:eastAsia="zh-CN"/>
        </w:rPr>
        <w:t>I</w:t>
      </w:r>
      <w:r>
        <w:rPr>
          <w:rFonts w:hint="eastAsia"/>
          <w:lang w:val="en-US" w:eastAsia="zh-CN"/>
        </w:rPr>
        <w:t>或</w:t>
      </w:r>
      <w:r>
        <w:rPr>
          <w:rFonts w:hint="eastAsia"/>
          <w:vertAlign w:val="superscript"/>
          <w:lang w:val="en-US" w:eastAsia="zh-CN"/>
        </w:rPr>
        <w:t>125</w:t>
      </w:r>
      <w:r>
        <w:rPr>
          <w:rFonts w:hint="eastAsia"/>
          <w:lang w:val="en-US" w:eastAsia="zh-CN"/>
        </w:rPr>
        <w:t>I</w:t>
      </w:r>
      <w:r>
        <w:rPr>
          <w:rFonts w:hint="eastAsia"/>
          <w:kern w:val="0"/>
          <w:lang w:val="en-US" w:eastAsia="zh-CN"/>
        </w:rPr>
        <w:t>标准</w:t>
      </w:r>
      <w:r>
        <w:rPr>
          <w:rFonts w:hint="eastAsia"/>
          <w:kern w:val="0"/>
          <w:lang w:eastAsia="zh-CN"/>
        </w:rPr>
        <w:t>溶液中放射性碘</w:t>
      </w:r>
      <w:r>
        <w:rPr>
          <w:rFonts w:hint="eastAsia"/>
          <w:kern w:val="0"/>
          <w:lang w:val="en-US" w:eastAsia="zh-CN"/>
        </w:rPr>
        <w:t>的</w:t>
      </w:r>
      <w:r>
        <w:rPr>
          <w:rFonts w:hint="default" w:ascii="Times New Roman" w:hAnsi="Times New Roman" w:cs="Times New Roman"/>
          <w:kern w:val="0"/>
          <w:lang w:val="en-US" w:eastAsia="zh-CN"/>
        </w:rPr>
        <w:t>γ</w:t>
      </w:r>
      <w:r>
        <w:rPr>
          <w:rFonts w:hint="eastAsia"/>
          <w:kern w:val="0"/>
          <w:lang w:val="en-US" w:eastAsia="zh-CN"/>
        </w:rPr>
        <w:t>射线全能峰计数率或活度，测量次数不少于10次，</w:t>
      </w:r>
      <w:r>
        <w:rPr>
          <w:rFonts w:hint="eastAsia"/>
          <w:lang w:val="en-US" w:eastAsia="zh-CN"/>
        </w:rPr>
        <w:t>用相对实验标准偏差表示重复性。</w:t>
      </w:r>
    </w:p>
    <w:p w14:paraId="5613EF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right"/>
        <w:textAlignment w:val="auto"/>
        <w:rPr>
          <w:kern w:val="0"/>
        </w:rPr>
      </w:pPr>
      <w:r>
        <w:rPr>
          <w:rFonts w:ascii="宋体" w:hAnsi="宋体"/>
          <w:kern w:val="0"/>
          <w:position w:val="-26"/>
        </w:rPr>
        <w:object>
          <v:shape id="_x0000_i1052" o:spt="75" type="#_x0000_t75" style="height:52.1pt;width:123pt;" o:ole="t" filled="f" o:preferrelative="t" stroked="f" coordsize="21600,21600">
            <v:path/>
            <v:fill on="f" focussize="0,0"/>
            <v:stroke on="f"/>
            <v:imagedata r:id="rId81" o:title=""/>
            <o:lock v:ext="edit" aspectratio="t"/>
            <w10:wrap type="none"/>
            <w10:anchorlock/>
          </v:shape>
          <o:OLEObject Type="Embed" ProgID="Equation.3" ShapeID="_x0000_i1052" DrawAspect="Content" ObjectID="_1468075753" r:id="rId80">
            <o:LockedField>false</o:LockedField>
          </o:OLEObject>
        </w:object>
      </w:r>
      <w:r>
        <w:rPr>
          <w:rFonts w:hint="eastAsia"/>
          <w:kern w:val="0"/>
          <w:szCs w:val="20"/>
        </w:rPr>
        <w:t xml:space="preserve"> </w:t>
      </w:r>
      <w:r>
        <w:rPr>
          <w:rFonts w:hint="eastAsia"/>
          <w:kern w:val="0"/>
          <w:szCs w:val="20"/>
          <w:lang w:val="en-US" w:eastAsia="zh-CN"/>
        </w:rPr>
        <w:t xml:space="preserve">    </w:t>
      </w:r>
      <w:r>
        <w:rPr>
          <w:rFonts w:hint="eastAsia" w:ascii="宋体" w:hAnsi="宋体" w:cs="宋体"/>
          <w:kern w:val="0"/>
        </w:rPr>
        <w:t xml:space="preserve"> </w:t>
      </w:r>
      <w:r>
        <w:rPr>
          <w:rFonts w:hint="eastAsia" w:ascii="宋体" w:hAnsi="宋体" w:cs="宋体"/>
          <w:kern w:val="0"/>
          <w:lang w:val="en-US" w:eastAsia="zh-CN"/>
        </w:rPr>
        <w:t xml:space="preserve">  </w:t>
      </w:r>
      <w:r>
        <w:rPr>
          <w:rFonts w:hint="eastAsia" w:ascii="宋体" w:hAnsi="宋体" w:cs="宋体"/>
          <w:kern w:val="0"/>
        </w:rPr>
        <w:t xml:space="preserve">              </w:t>
      </w:r>
      <w:r>
        <w:rPr>
          <w:kern w:val="0"/>
        </w:rPr>
        <w:t>（</w:t>
      </w:r>
      <w:r>
        <w:rPr>
          <w:rFonts w:hint="eastAsia"/>
          <w:kern w:val="0"/>
          <w:lang w:val="en-US" w:eastAsia="zh-CN"/>
        </w:rPr>
        <w:t>7</w:t>
      </w:r>
      <w:r>
        <w:rPr>
          <w:kern w:val="0"/>
        </w:rPr>
        <w:t>）</w:t>
      </w:r>
    </w:p>
    <w:p w14:paraId="2CD3C70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r>
        <w:rPr>
          <w:kern w:val="0"/>
        </w:rPr>
        <w:t>式</w:t>
      </w:r>
      <w:r>
        <w:rPr>
          <w:rFonts w:hint="eastAsia"/>
          <w:kern w:val="0"/>
        </w:rPr>
        <w:t>中</w:t>
      </w:r>
      <w:r>
        <w:rPr>
          <w:rFonts w:hint="eastAsia" w:eastAsia="宋体"/>
          <w:kern w:val="0"/>
          <w:lang w:eastAsia="zh-CN"/>
        </w:rPr>
        <w:t>：</w:t>
      </w:r>
    </w:p>
    <w:p w14:paraId="6097267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kern w:val="0"/>
          <w:position w:val="-14"/>
        </w:rPr>
        <w:object>
          <v:shape id="_x0000_i1053" o:spt="75" type="#_x0000_t75" style="height:19.85pt;width:28pt;" o:ole="t" filled="f" o:preferrelative="t" stroked="f" coordsize="21600,21600">
            <v:path/>
            <v:fill on="f" focussize="0,0"/>
            <v:stroke on="f"/>
            <v:imagedata r:id="rId83" o:title=""/>
            <o:lock v:ext="edit" aspectratio="t"/>
            <w10:wrap type="none"/>
            <w10:anchorlock/>
          </v:shape>
          <o:OLEObject Type="Embed" ProgID="Equation.3" ShapeID="_x0000_i1053" DrawAspect="Content" ObjectID="_1468075754" r:id="rId82">
            <o:LockedField>false</o:LockedField>
          </o:OLEObject>
        </w:object>
      </w:r>
      <w:r>
        <w:rPr>
          <w:kern w:val="0"/>
        </w:rPr>
        <w:t>——</w:t>
      </w:r>
      <w:r>
        <w:rPr>
          <w:rFonts w:hint="eastAsia"/>
          <w:kern w:val="0"/>
          <w:lang w:eastAsia="zh-CN"/>
        </w:rPr>
        <w:t>重复性</w:t>
      </w:r>
      <w:r>
        <w:rPr>
          <w:rFonts w:hint="eastAsia"/>
          <w:kern w:val="0"/>
        </w:rPr>
        <w:t>，%</w:t>
      </w:r>
      <w:r>
        <w:rPr>
          <w:kern w:val="0"/>
        </w:rPr>
        <w:t>；</w:t>
      </w:r>
    </w:p>
    <w:p w14:paraId="24FE01B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kern w:val="0"/>
          <w:position w:val="-12"/>
        </w:rPr>
        <w:object>
          <v:shape id="_x0000_i1054" o:spt="75" type="#_x0000_t75" style="height:15.5pt;width:10.4pt;" o:ole="t" filled="f" o:preferrelative="t" stroked="f" coordsize="21600,21600">
            <v:path/>
            <v:fill on="f" focussize="0,0"/>
            <v:stroke on="f"/>
            <v:imagedata r:id="rId85" o:title=""/>
            <o:lock v:ext="edit" aspectratio="t"/>
            <w10:wrap type="none"/>
            <w10:anchorlock/>
          </v:shape>
          <o:OLEObject Type="Embed" ProgID="Equation.3" ShapeID="_x0000_i1054" DrawAspect="Content" ObjectID="_1468075755" r:id="rId84">
            <o:LockedField>false</o:LockedField>
          </o:OLEObject>
        </w:object>
      </w:r>
      <w:r>
        <w:rPr>
          <w:kern w:val="0"/>
        </w:rPr>
        <w:t>——</w:t>
      </w:r>
      <w:r>
        <w:rPr>
          <w:rFonts w:hint="eastAsia"/>
          <w:kern w:val="0"/>
          <w:lang w:val="en-US" w:eastAsia="zh-CN"/>
        </w:rPr>
        <w:t>标准</w:t>
      </w:r>
      <w:r>
        <w:rPr>
          <w:rFonts w:hint="eastAsia"/>
          <w:kern w:val="0"/>
          <w:lang w:eastAsia="zh-CN"/>
        </w:rPr>
        <w:t>溶液中放射性碘</w:t>
      </w:r>
      <w:r>
        <w:rPr>
          <w:rFonts w:hint="eastAsia"/>
          <w:kern w:val="0"/>
          <w:lang w:val="en-US" w:eastAsia="zh-CN"/>
        </w:rPr>
        <w:t>的</w:t>
      </w:r>
      <w:r>
        <w:rPr>
          <w:rFonts w:hint="default" w:ascii="Times New Roman" w:hAnsi="Times New Roman" w:cs="Times New Roman"/>
          <w:kern w:val="0"/>
          <w:lang w:val="en-US" w:eastAsia="zh-CN"/>
        </w:rPr>
        <w:t>γ</w:t>
      </w:r>
      <w:r>
        <w:rPr>
          <w:rFonts w:hint="eastAsia"/>
          <w:kern w:val="0"/>
          <w:lang w:val="en-US" w:eastAsia="zh-CN"/>
        </w:rPr>
        <w:t>射线全能峰计数率或活度</w:t>
      </w:r>
      <w:r>
        <w:rPr>
          <w:rFonts w:hint="eastAsia"/>
          <w:kern w:val="0"/>
        </w:rPr>
        <w:t>第</w:t>
      </w:r>
      <w:r>
        <w:rPr>
          <w:rFonts w:hint="eastAsia"/>
          <w:i/>
          <w:iCs/>
          <w:color w:val="auto"/>
          <w:kern w:val="0"/>
        </w:rPr>
        <w:t>i</w:t>
      </w:r>
      <w:r>
        <w:rPr>
          <w:rFonts w:hint="eastAsia"/>
          <w:kern w:val="0"/>
        </w:rPr>
        <w:t>次测量值，</w:t>
      </w:r>
      <w:r>
        <w:rPr>
          <w:rFonts w:ascii="宋体" w:hAnsi="宋体"/>
          <w:kern w:val="0"/>
          <w:position w:val="-6"/>
        </w:rPr>
        <w:object>
          <v:shape id="_x0000_i1055"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55" DrawAspect="Content" ObjectID="_1468075756" r:id="rId86">
            <o:LockedField>false</o:LockedField>
          </o:OLEObject>
        </w:object>
      </w:r>
      <w:r>
        <w:rPr>
          <w:rFonts w:hint="eastAsia"/>
          <w:kern w:val="0"/>
          <w:lang w:eastAsia="zh-CN"/>
        </w:rPr>
        <w:t>或</w:t>
      </w:r>
      <w:r>
        <w:rPr>
          <w:rFonts w:hint="eastAsia"/>
          <w:kern w:val="0"/>
          <w:lang w:val="en-US" w:eastAsia="zh-CN"/>
        </w:rPr>
        <w:t>Bq</w:t>
      </w:r>
      <w:r>
        <w:rPr>
          <w:kern w:val="0"/>
        </w:rPr>
        <w:t>；</w:t>
      </w:r>
    </w:p>
    <w:p w14:paraId="30CFC5A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kern w:val="0"/>
        </w:rPr>
      </w:pPr>
      <w:r>
        <w:rPr>
          <w:kern w:val="0"/>
          <w:position w:val="-4"/>
        </w:rPr>
        <w:object>
          <v:shape id="_x0000_i1056" o:spt="75" type="#_x0000_t75" style="height:13.8pt;width:9.55pt;" o:ole="t" filled="f" o:preferrelative="t" stroked="f" coordsize="21600,21600">
            <v:path/>
            <v:fill on="f" focussize="0,0"/>
            <v:stroke on="f"/>
            <v:imagedata r:id="rId88" o:title=""/>
            <o:lock v:ext="edit" aspectratio="t"/>
            <w10:wrap type="none"/>
            <w10:anchorlock/>
          </v:shape>
          <o:OLEObject Type="Embed" ProgID="Equation.3" ShapeID="_x0000_i1056" DrawAspect="Content" ObjectID="_1468075757" r:id="rId87">
            <o:LockedField>false</o:LockedField>
          </o:OLEObject>
        </w:object>
      </w:r>
      <w:r>
        <w:rPr>
          <w:kern w:val="0"/>
        </w:rPr>
        <w:t>——</w:t>
      </w:r>
      <w:r>
        <w:rPr>
          <w:rFonts w:hint="eastAsia"/>
          <w:kern w:val="0"/>
          <w:lang w:val="en-US" w:eastAsia="zh-CN"/>
        </w:rPr>
        <w:t>标准</w:t>
      </w:r>
      <w:r>
        <w:rPr>
          <w:rFonts w:hint="eastAsia"/>
          <w:kern w:val="0"/>
          <w:lang w:eastAsia="zh-CN"/>
        </w:rPr>
        <w:t>溶液中放射性碘</w:t>
      </w:r>
      <w:r>
        <w:rPr>
          <w:rFonts w:hint="eastAsia"/>
          <w:kern w:val="0"/>
          <w:lang w:val="en-US" w:eastAsia="zh-CN"/>
        </w:rPr>
        <w:t>的</w:t>
      </w:r>
      <w:r>
        <w:rPr>
          <w:rFonts w:hint="default" w:ascii="Times New Roman" w:hAnsi="Times New Roman" w:cs="Times New Roman"/>
          <w:kern w:val="0"/>
          <w:lang w:val="en-US" w:eastAsia="zh-CN"/>
        </w:rPr>
        <w:t>γ</w:t>
      </w:r>
      <w:r>
        <w:rPr>
          <w:rFonts w:hint="eastAsia"/>
          <w:kern w:val="0"/>
          <w:lang w:val="en-US" w:eastAsia="zh-CN"/>
        </w:rPr>
        <w:t>射线全能峰计数率或活度</w:t>
      </w:r>
      <w:r>
        <w:rPr>
          <w:rFonts w:hint="eastAsia"/>
          <w:i/>
          <w:iCs/>
          <w:kern w:val="0"/>
          <w:lang w:val="en-US" w:eastAsia="zh-CN"/>
        </w:rPr>
        <w:t>n</w:t>
      </w:r>
      <w:r>
        <w:rPr>
          <w:rFonts w:hint="eastAsia"/>
          <w:kern w:val="0"/>
          <w:lang w:val="en-US" w:eastAsia="zh-CN"/>
        </w:rPr>
        <w:t>次</w:t>
      </w:r>
      <w:r>
        <w:rPr>
          <w:rFonts w:hint="eastAsia"/>
          <w:kern w:val="0"/>
          <w:lang w:eastAsia="zh-CN"/>
        </w:rPr>
        <w:t>测量值的算术</w:t>
      </w:r>
      <w:r>
        <w:rPr>
          <w:rFonts w:hint="eastAsia"/>
          <w:kern w:val="0"/>
        </w:rPr>
        <w:t>平均值</w:t>
      </w:r>
      <w:r>
        <w:rPr>
          <w:kern w:val="0"/>
        </w:rPr>
        <w:t>，</w:t>
      </w:r>
      <w:r>
        <w:rPr>
          <w:rFonts w:ascii="宋体" w:hAnsi="宋体"/>
          <w:kern w:val="0"/>
          <w:position w:val="-6"/>
        </w:rPr>
        <w:object>
          <v:shape id="_x0000_i1057"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57" DrawAspect="Content" ObjectID="_1468075758" r:id="rId89">
            <o:LockedField>false</o:LockedField>
          </o:OLEObject>
        </w:object>
      </w:r>
      <w:r>
        <w:rPr>
          <w:rFonts w:hint="eastAsia"/>
          <w:kern w:val="0"/>
          <w:lang w:eastAsia="zh-CN"/>
        </w:rPr>
        <w:t>或</w:t>
      </w:r>
      <w:r>
        <w:rPr>
          <w:rFonts w:hint="eastAsia"/>
          <w:kern w:val="0"/>
          <w:lang w:val="en-US" w:eastAsia="zh-CN"/>
        </w:rPr>
        <w:t>Bq</w:t>
      </w:r>
      <w:r>
        <w:rPr>
          <w:kern w:val="0"/>
        </w:rPr>
        <w:t>；</w:t>
      </w:r>
    </w:p>
    <w:p w14:paraId="15F759BB">
      <w:pPr>
        <w:keepNext w:val="0"/>
        <w:keepLines w:val="0"/>
        <w:pageBreakBefore w:val="0"/>
        <w:widowControl/>
        <w:tabs>
          <w:tab w:val="left" w:pos="1440"/>
          <w:tab w:val="left" w:pos="1680"/>
        </w:tabs>
        <w:kinsoku/>
        <w:wordWrap/>
        <w:overflowPunct/>
        <w:topLinePunct w:val="0"/>
        <w:autoSpaceDE/>
        <w:autoSpaceDN/>
        <w:bidi w:val="0"/>
        <w:adjustRightInd/>
        <w:snapToGrid/>
        <w:spacing w:line="480" w:lineRule="exact"/>
        <w:ind w:firstLine="480" w:firstLineChars="200"/>
        <w:jc w:val="left"/>
        <w:textAlignment w:val="auto"/>
        <w:rPr>
          <w:kern w:val="0"/>
        </w:rPr>
      </w:pPr>
      <w:r>
        <w:rPr>
          <w:kern w:val="0"/>
          <w:position w:val="-6"/>
        </w:rPr>
        <w:object>
          <v:shape id="_x0000_i1058" o:spt="75" type="#_x0000_t75" style="height:11pt;width:10pt;" o:ole="t" filled="f" o:preferrelative="t" stroked="f" coordsize="21600,21600">
            <v:path/>
            <v:fill on="f" focussize="0,0"/>
            <v:stroke on="f"/>
            <v:imagedata r:id="rId43" o:title=""/>
            <o:lock v:ext="edit" aspectratio="t"/>
            <w10:wrap type="none"/>
            <w10:anchorlock/>
          </v:shape>
          <o:OLEObject Type="Embed" ProgID="Equation.3" ShapeID="_x0000_i1058" DrawAspect="Content" ObjectID="_1468075759" r:id="rId90">
            <o:LockedField>false</o:LockedField>
          </o:OLEObject>
        </w:object>
      </w:r>
      <w:r>
        <w:rPr>
          <w:kern w:val="0"/>
        </w:rPr>
        <w:t>——</w:t>
      </w:r>
      <w:r>
        <w:rPr>
          <w:rFonts w:hint="eastAsia"/>
          <w:kern w:val="0"/>
        </w:rPr>
        <w:t>测量次数</w:t>
      </w:r>
      <w:r>
        <w:rPr>
          <w:kern w:val="0"/>
        </w:rPr>
        <w:t>。</w:t>
      </w:r>
    </w:p>
    <w:p w14:paraId="5D61A5D0">
      <w:pPr>
        <w:pStyle w:val="2"/>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rPr>
      </w:pPr>
      <w:bookmarkStart w:id="70" w:name="_Toc2959"/>
      <w:bookmarkStart w:id="71" w:name="_Toc22392"/>
      <w:r>
        <w:rPr>
          <w:rFonts w:hint="eastAsia"/>
        </w:rPr>
        <w:t>8  校</w:t>
      </w:r>
      <w:bookmarkStart w:id="72" w:name="_Toc28809"/>
      <w:r>
        <w:rPr>
          <w:rFonts w:hint="eastAsia"/>
        </w:rPr>
        <w:t>准结果表达</w:t>
      </w:r>
      <w:bookmarkEnd w:id="70"/>
      <w:bookmarkEnd w:id="71"/>
    </w:p>
    <w:p w14:paraId="25293F0C">
      <w:pPr>
        <w:pStyle w:val="3"/>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hint="eastAsia" w:ascii="Times New Roman" w:hAnsi="Times New Roman"/>
          <w:sz w:val="24"/>
          <w:szCs w:val="22"/>
          <w:lang w:val="en-US" w:eastAsia="zh-CN"/>
        </w:rPr>
      </w:pPr>
      <w:r>
        <w:rPr>
          <w:rFonts w:hint="eastAsia" w:ascii="Times New Roman" w:hAnsi="Times New Roman"/>
          <w:sz w:val="24"/>
          <w:szCs w:val="22"/>
        </w:rPr>
        <w:t>经校准</w:t>
      </w:r>
      <w:bookmarkEnd w:id="72"/>
      <w:r>
        <w:rPr>
          <w:rFonts w:hint="eastAsia" w:ascii="Times New Roman" w:hAnsi="Times New Roman"/>
          <w:sz w:val="24"/>
          <w:szCs w:val="22"/>
        </w:rPr>
        <w:t>后的</w:t>
      </w:r>
      <w:r>
        <w:rPr>
          <w:rFonts w:hint="eastAsia" w:ascii="Times New Roman" w:hAnsi="Times New Roman"/>
          <w:sz w:val="24"/>
          <w:szCs w:val="22"/>
          <w:lang w:eastAsia="zh-CN"/>
        </w:rPr>
        <w:t>甲状腺碘测量仪出具</w:t>
      </w:r>
      <w:r>
        <w:rPr>
          <w:rFonts w:hint="eastAsia" w:ascii="Times New Roman" w:hAnsi="Times New Roman"/>
          <w:sz w:val="24"/>
          <w:szCs w:val="22"/>
        </w:rPr>
        <w:t>校准证书，并给出所校准各项目</w:t>
      </w:r>
      <w:r>
        <w:rPr>
          <w:rFonts w:hint="eastAsia" w:ascii="Times New Roman" w:hAnsi="Times New Roman"/>
          <w:sz w:val="24"/>
          <w:szCs w:val="22"/>
          <w:lang w:eastAsia="zh-CN"/>
        </w:rPr>
        <w:t>的</w:t>
      </w:r>
      <w:r>
        <w:rPr>
          <w:rFonts w:hint="eastAsia" w:ascii="Times New Roman" w:hAnsi="Times New Roman"/>
          <w:sz w:val="24"/>
          <w:szCs w:val="22"/>
        </w:rPr>
        <w:t>名称</w:t>
      </w:r>
      <w:r>
        <w:rPr>
          <w:rFonts w:hint="eastAsia" w:ascii="Times New Roman" w:hAnsi="Times New Roman"/>
          <w:sz w:val="24"/>
          <w:szCs w:val="22"/>
          <w:lang w:eastAsia="zh-CN"/>
        </w:rPr>
        <w:t>、校准</w:t>
      </w:r>
      <w:r>
        <w:rPr>
          <w:rFonts w:hint="eastAsia" w:ascii="Times New Roman" w:hAnsi="Times New Roman"/>
          <w:sz w:val="24"/>
          <w:szCs w:val="22"/>
        </w:rPr>
        <w:t>结果以及扩展不确定度。校准原始记录格式（推荐性表格）参见附录</w:t>
      </w:r>
      <w:r>
        <w:rPr>
          <w:rFonts w:hint="eastAsia" w:ascii="Times New Roman" w:hAnsi="Times New Roman"/>
          <w:sz w:val="24"/>
          <w:szCs w:val="22"/>
          <w:lang w:val="en-US" w:eastAsia="zh-CN"/>
        </w:rPr>
        <w:t>B</w:t>
      </w:r>
      <w:r>
        <w:rPr>
          <w:rFonts w:hint="eastAsia" w:ascii="Times New Roman" w:hAnsi="Times New Roman"/>
          <w:sz w:val="24"/>
          <w:szCs w:val="22"/>
        </w:rPr>
        <w:t>，校准证书内页格式（推荐性表格）参见附录</w:t>
      </w:r>
      <w:r>
        <w:rPr>
          <w:rFonts w:hint="eastAsia" w:ascii="Times New Roman" w:hAnsi="Times New Roman"/>
          <w:sz w:val="24"/>
          <w:szCs w:val="22"/>
          <w:lang w:val="en-US" w:eastAsia="zh-CN"/>
        </w:rPr>
        <w:t>C</w:t>
      </w:r>
      <w:r>
        <w:rPr>
          <w:rFonts w:hint="eastAsia" w:ascii="Times New Roman" w:hAnsi="Times New Roman"/>
          <w:sz w:val="24"/>
          <w:szCs w:val="22"/>
        </w:rPr>
        <w:t>，</w:t>
      </w:r>
      <w:r>
        <w:rPr>
          <w:rFonts w:hint="eastAsia" w:ascii="Times New Roman" w:hAnsi="Times New Roman"/>
          <w:sz w:val="24"/>
          <w:szCs w:val="22"/>
          <w:lang w:eastAsia="zh-CN"/>
        </w:rPr>
        <w:t>甲状腺碘测量仪</w:t>
      </w:r>
      <w:r>
        <w:rPr>
          <w:rFonts w:hint="eastAsia" w:ascii="Times New Roman" w:hAnsi="Times New Roman"/>
          <w:sz w:val="24"/>
          <w:szCs w:val="22"/>
          <w:lang w:val="en-US" w:eastAsia="zh-CN"/>
        </w:rPr>
        <w:t>活度示值误差测量结果不确定度</w:t>
      </w:r>
      <w:r>
        <w:rPr>
          <w:rFonts w:ascii="Times New Roman" w:hAnsi="Times New Roman"/>
          <w:sz w:val="24"/>
          <w:szCs w:val="22"/>
        </w:rPr>
        <w:t>评定参考附录</w:t>
      </w:r>
      <w:r>
        <w:rPr>
          <w:rFonts w:hint="eastAsia" w:ascii="Times New Roman" w:hAnsi="Times New Roman"/>
          <w:sz w:val="24"/>
          <w:szCs w:val="22"/>
          <w:lang w:val="en-US" w:eastAsia="zh-CN"/>
        </w:rPr>
        <w:t>D</w:t>
      </w:r>
      <w:r>
        <w:rPr>
          <w:rFonts w:ascii="Times New Roman" w:hAnsi="Times New Roman"/>
          <w:sz w:val="24"/>
          <w:szCs w:val="22"/>
          <w:lang w:val="en-US" w:eastAsia="zh-CN"/>
        </w:rPr>
        <w:t>。</w:t>
      </w:r>
    </w:p>
    <w:p w14:paraId="7CA6567B">
      <w:pPr>
        <w:pStyle w:val="2"/>
        <w:keepNext w:val="0"/>
        <w:keepLines w:val="0"/>
        <w:pageBreakBefore w:val="0"/>
        <w:kinsoku/>
        <w:wordWrap/>
        <w:overflowPunct/>
        <w:topLinePunct w:val="0"/>
        <w:autoSpaceDE/>
        <w:autoSpaceDN/>
        <w:bidi w:val="0"/>
        <w:adjustRightInd/>
        <w:snapToGrid/>
        <w:spacing w:line="480" w:lineRule="exact"/>
        <w:textAlignment w:val="auto"/>
        <w:rPr>
          <w:rFonts w:hint="eastAsia"/>
        </w:rPr>
      </w:pPr>
      <w:bookmarkStart w:id="73" w:name="_Toc7769"/>
      <w:bookmarkStart w:id="74" w:name="_Toc6848"/>
      <w:bookmarkStart w:id="75" w:name="_Toc17290"/>
      <w:r>
        <w:rPr>
          <w:rFonts w:hint="eastAsia"/>
        </w:rPr>
        <w:t>9  复校时间间隔</w:t>
      </w:r>
      <w:bookmarkEnd w:id="73"/>
      <w:bookmarkEnd w:id="74"/>
    </w:p>
    <w:bookmarkEnd w:id="75"/>
    <w:p w14:paraId="0A089A47">
      <w:pPr>
        <w:pStyle w:val="3"/>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2"/>
          <w:lang w:eastAsia="zh-CN"/>
        </w:rPr>
        <w:t>甲状腺碘测量仪</w:t>
      </w:r>
      <w:r>
        <w:rPr>
          <w:rFonts w:hint="eastAsia" w:ascii="Times New Roman" w:hAnsi="Times New Roman"/>
          <w:sz w:val="24"/>
          <w:szCs w:val="24"/>
        </w:rPr>
        <w:t>的建议复校时间间隔不超过</w:t>
      </w:r>
      <w:r>
        <w:rPr>
          <w:rFonts w:hint="eastAsia" w:ascii="Times New Roman" w:hAnsi="Times New Roman"/>
          <w:sz w:val="24"/>
          <w:szCs w:val="24"/>
          <w:lang w:val="en-US" w:eastAsia="zh-CN"/>
        </w:rPr>
        <w:t>24</w:t>
      </w:r>
      <w:r>
        <w:rPr>
          <w:rFonts w:hint="eastAsia" w:ascii="Times New Roman" w:hAnsi="Times New Roman"/>
          <w:sz w:val="24"/>
          <w:szCs w:val="24"/>
        </w:rPr>
        <w:t>个月。</w:t>
      </w:r>
    </w:p>
    <w:p w14:paraId="603475F1">
      <w:pPr>
        <w:pStyle w:val="3"/>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ascii="Times New Roman" w:hAnsi="Times New Roman"/>
          <w:sz w:val="24"/>
          <w:szCs w:val="24"/>
          <w:lang w:eastAsia="zh-CN"/>
        </w:rPr>
      </w:pPr>
      <w:r>
        <w:rPr>
          <w:rFonts w:ascii="Times New Roman" w:hAnsi="Times New Roman"/>
          <w:sz w:val="24"/>
          <w:szCs w:val="24"/>
          <w:lang w:eastAsia="zh-CN"/>
        </w:rPr>
        <w:t>由于复校时间间隔的长短是由</w:t>
      </w:r>
      <w:r>
        <w:rPr>
          <w:rFonts w:hint="eastAsia" w:ascii="Times New Roman" w:hAnsi="Times New Roman"/>
          <w:sz w:val="24"/>
          <w:szCs w:val="24"/>
          <w:lang w:eastAsia="zh-CN"/>
        </w:rPr>
        <w:t>仪器</w:t>
      </w:r>
      <w:r>
        <w:rPr>
          <w:rFonts w:ascii="Times New Roman" w:hAnsi="Times New Roman"/>
          <w:sz w:val="24"/>
          <w:szCs w:val="24"/>
          <w:lang w:eastAsia="zh-CN"/>
        </w:rPr>
        <w:t>的使用情况、使用者、</w:t>
      </w:r>
      <w:r>
        <w:rPr>
          <w:rFonts w:hint="eastAsia" w:ascii="Times New Roman" w:hAnsi="Times New Roman"/>
          <w:sz w:val="24"/>
          <w:szCs w:val="24"/>
          <w:lang w:eastAsia="zh-CN"/>
        </w:rPr>
        <w:t>仪器</w:t>
      </w:r>
      <w:r>
        <w:rPr>
          <w:rFonts w:ascii="Times New Roman" w:hAnsi="Times New Roman"/>
          <w:sz w:val="24"/>
          <w:szCs w:val="24"/>
          <w:lang w:eastAsia="zh-CN"/>
        </w:rPr>
        <w:t>本身质量等诸因素所决定的</w:t>
      </w:r>
      <w:r>
        <w:rPr>
          <w:rFonts w:hint="eastAsia" w:ascii="Times New Roman" w:hAnsi="Times New Roman"/>
          <w:sz w:val="24"/>
          <w:szCs w:val="24"/>
          <w:lang w:eastAsia="zh-CN"/>
        </w:rPr>
        <w:t>，</w:t>
      </w:r>
      <w:r>
        <w:rPr>
          <w:rFonts w:ascii="Times New Roman" w:hAnsi="Times New Roman"/>
          <w:sz w:val="24"/>
          <w:szCs w:val="24"/>
          <w:lang w:eastAsia="zh-CN"/>
        </w:rPr>
        <w:t>因此，送校单位可根据实际</w:t>
      </w:r>
      <w:r>
        <w:rPr>
          <w:rFonts w:hint="eastAsia" w:ascii="Times New Roman" w:hAnsi="Times New Roman"/>
          <w:sz w:val="24"/>
          <w:szCs w:val="24"/>
          <w:lang w:eastAsia="zh-CN"/>
        </w:rPr>
        <w:t>使用</w:t>
      </w:r>
      <w:r>
        <w:rPr>
          <w:rFonts w:ascii="Times New Roman" w:hAnsi="Times New Roman"/>
          <w:sz w:val="24"/>
          <w:szCs w:val="24"/>
          <w:lang w:eastAsia="zh-CN"/>
        </w:rPr>
        <w:t>情况自主决定复校时间间隔。</w:t>
      </w:r>
    </w:p>
    <w:p w14:paraId="6695C394">
      <w:pPr>
        <w:spacing w:line="500" w:lineRule="exact"/>
        <w:ind w:firstLine="560"/>
        <w:jc w:val="center"/>
        <w:rPr>
          <w:rFonts w:eastAsia="黑体"/>
          <w:bCs/>
          <w:color w:val="000000" w:themeColor="text1"/>
          <w:sz w:val="28"/>
          <w:szCs w:val="28"/>
          <w14:textFill>
            <w14:solidFill>
              <w14:schemeClr w14:val="tx1"/>
            </w14:solidFill>
          </w14:textFill>
        </w:rPr>
      </w:pPr>
    </w:p>
    <w:p w14:paraId="0D6F068D">
      <w:pPr>
        <w:ind w:firstLine="560"/>
        <w:rPr>
          <w:rFonts w:ascii="黑体" w:hAnsi="黑体"/>
          <w:color w:val="000000" w:themeColor="text1"/>
          <w:sz w:val="28"/>
          <w:szCs w:val="28"/>
          <w14:textFill>
            <w14:solidFill>
              <w14:schemeClr w14:val="tx1"/>
            </w14:solidFill>
          </w14:textFill>
        </w:rPr>
      </w:pPr>
      <w:bookmarkStart w:id="76" w:name="_Toc140477901"/>
      <w:bookmarkStart w:id="77" w:name="_Toc13056"/>
      <w:bookmarkStart w:id="78" w:name="_Toc19144"/>
      <w:r>
        <w:rPr>
          <w:rFonts w:hint="eastAsia" w:ascii="黑体" w:hAnsi="黑体"/>
          <w:color w:val="000000" w:themeColor="text1"/>
          <w:sz w:val="28"/>
          <w:szCs w:val="28"/>
          <w14:textFill>
            <w14:solidFill>
              <w14:schemeClr w14:val="tx1"/>
            </w14:solidFill>
          </w14:textFill>
        </w:rPr>
        <w:br w:type="page"/>
      </w:r>
    </w:p>
    <w:bookmarkEnd w:id="76"/>
    <w:bookmarkEnd w:id="77"/>
    <w:bookmarkEnd w:id="78"/>
    <w:p w14:paraId="6C2EFB4E">
      <w:pPr>
        <w:pStyle w:val="3"/>
        <w:keepNext w:val="0"/>
        <w:keepLines w:val="0"/>
        <w:pageBreakBefore w:val="0"/>
        <w:widowControl w:val="0"/>
        <w:tabs>
          <w:tab w:val="left" w:pos="1430"/>
          <w:tab w:val="center" w:pos="4680"/>
        </w:tabs>
        <w:kinsoku/>
        <w:wordWrap/>
        <w:overflowPunct/>
        <w:topLinePunct w:val="0"/>
        <w:autoSpaceDE/>
        <w:autoSpaceDN/>
        <w:bidi w:val="0"/>
        <w:adjustRightInd/>
        <w:snapToGrid/>
        <w:spacing w:before="148" w:beforeLines="50" w:line="240" w:lineRule="auto"/>
        <w:ind w:firstLine="0" w:firstLineChars="0"/>
        <w:jc w:val="left"/>
        <w:textAlignment w:val="auto"/>
        <w:outlineLvl w:val="0"/>
        <w:rPr>
          <w:rFonts w:hint="eastAsia" w:ascii="Times New Roman" w:hAnsi="Times New Roman" w:eastAsia="黑体"/>
          <w:sz w:val="28"/>
          <w:szCs w:val="22"/>
          <w:lang w:eastAsia="zh-CN"/>
        </w:rPr>
      </w:pPr>
      <w:bookmarkStart w:id="79" w:name="_Toc4502"/>
      <w:bookmarkStart w:id="80" w:name="_Toc20641"/>
      <w:r>
        <w:rPr>
          <w:rFonts w:hint="eastAsia" w:ascii="Times New Roman" w:hAnsi="Times New Roman" w:eastAsia="黑体"/>
          <w:sz w:val="28"/>
          <w:szCs w:val="22"/>
        </w:rPr>
        <w:t>附录</w:t>
      </w:r>
      <w:r>
        <w:rPr>
          <w:rFonts w:hint="eastAsia" w:ascii="Times New Roman" w:hAnsi="Times New Roman" w:eastAsia="黑体"/>
          <w:sz w:val="28"/>
          <w:szCs w:val="22"/>
          <w:lang w:val="en-US" w:eastAsia="zh-CN"/>
        </w:rPr>
        <w:t>A</w:t>
      </w:r>
      <w:bookmarkEnd w:id="79"/>
    </w:p>
    <w:p w14:paraId="29BDED74">
      <w:pPr>
        <w:pStyle w:val="18"/>
        <w:keepNext w:val="0"/>
        <w:keepLines w:val="0"/>
        <w:pageBreakBefore w:val="0"/>
        <w:widowControl w:val="0"/>
        <w:kinsoku/>
        <w:wordWrap/>
        <w:overflowPunct/>
        <w:topLinePunct w:val="0"/>
        <w:autoSpaceDE/>
        <w:autoSpaceDN/>
        <w:bidi w:val="0"/>
        <w:adjustRightInd/>
        <w:snapToGrid/>
        <w:spacing w:before="0" w:beforeLines="0" w:after="148" w:afterLines="50" w:line="240" w:lineRule="auto"/>
        <w:ind w:firstLine="0" w:firstLineChars="0"/>
        <w:jc w:val="center"/>
        <w:textAlignment w:val="auto"/>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pPr>
      <w:bookmarkStart w:id="81" w:name="_Toc23283"/>
      <w:r>
        <w:rPr>
          <w:rFonts w:hint="eastAsia" w:cs="Times New Roman"/>
          <w:bCs/>
          <w:color w:val="000000" w:themeColor="text1"/>
          <w:kern w:val="2"/>
          <w:sz w:val="28"/>
          <w:szCs w:val="28"/>
          <w:lang w:val="en-US" w:eastAsia="zh-CN" w:bidi="ar-SA"/>
          <w14:textFill>
            <w14:solidFill>
              <w14:schemeClr w14:val="tx1"/>
            </w14:solidFill>
          </w14:textFill>
        </w:rPr>
        <w:t>颈部模体</w:t>
      </w:r>
      <w:bookmarkEnd w:id="81"/>
    </w:p>
    <w:p w14:paraId="0720A160">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kern w:val="0"/>
          <w:szCs w:val="21"/>
          <w:highlight w:val="none"/>
          <w:lang w:eastAsia="zh-CN"/>
        </w:rPr>
      </w:pPr>
      <w:r>
        <w:rPr>
          <w:rFonts w:hint="eastAsia"/>
          <w:kern w:val="0"/>
          <w:szCs w:val="21"/>
          <w:highlight w:val="none"/>
          <w:lang w:eastAsia="zh-CN"/>
        </w:rPr>
        <w:t>颈部</w:t>
      </w:r>
      <w:r>
        <w:rPr>
          <w:rFonts w:hint="eastAsia"/>
          <w:kern w:val="0"/>
          <w:szCs w:val="21"/>
          <w:highlight w:val="none"/>
        </w:rPr>
        <w:t>模体用于模拟人体</w:t>
      </w:r>
      <w:r>
        <w:rPr>
          <w:rFonts w:hint="eastAsia"/>
          <w:kern w:val="0"/>
          <w:szCs w:val="21"/>
          <w:highlight w:val="none"/>
          <w:lang w:eastAsia="zh-CN"/>
        </w:rPr>
        <w:t>的颈部和</w:t>
      </w:r>
      <w:r>
        <w:rPr>
          <w:rFonts w:hint="eastAsia"/>
          <w:kern w:val="0"/>
          <w:szCs w:val="21"/>
          <w:highlight w:val="none"/>
        </w:rPr>
        <w:t>甲状腺部位，其</w:t>
      </w:r>
      <w:r>
        <w:rPr>
          <w:rFonts w:hint="eastAsia"/>
          <w:kern w:val="0"/>
          <w:szCs w:val="21"/>
          <w:highlight w:val="none"/>
          <w:lang w:eastAsia="zh-CN"/>
        </w:rPr>
        <w:t>对电离辐射的减弱或散射作用于人体组织基本相同，结构示意图见图</w:t>
      </w:r>
      <w:r>
        <w:rPr>
          <w:rFonts w:hint="eastAsia"/>
          <w:kern w:val="0"/>
          <w:szCs w:val="21"/>
          <w:highlight w:val="none"/>
          <w:lang w:val="en-US" w:eastAsia="zh-CN"/>
        </w:rPr>
        <w:t>A.1。</w:t>
      </w:r>
      <w:r>
        <w:rPr>
          <w:rFonts w:hint="default"/>
          <w:kern w:val="0"/>
          <w:szCs w:val="21"/>
          <w:highlight w:val="none"/>
          <w:lang w:val="en-US" w:eastAsia="zh-CN"/>
        </w:rPr>
        <w:t>颈部模体由与人体组织等效的聚甲基丙烯酸甲酯（PMMA）材料制成，</w:t>
      </w:r>
      <w:r>
        <w:rPr>
          <w:rFonts w:hint="eastAsia"/>
          <w:kern w:val="0"/>
          <w:szCs w:val="21"/>
          <w:highlight w:val="none"/>
          <w:lang w:val="en-US" w:eastAsia="zh-CN"/>
        </w:rPr>
        <w:t>模体</w:t>
      </w:r>
      <w:r>
        <w:rPr>
          <w:rFonts w:hint="default"/>
          <w:kern w:val="0"/>
          <w:szCs w:val="21"/>
          <w:highlight w:val="none"/>
          <w:lang w:val="en-US" w:eastAsia="zh-CN"/>
        </w:rPr>
        <w:t>为直径12.7 cm</w:t>
      </w:r>
      <w:r>
        <w:rPr>
          <w:rFonts w:hint="eastAsia"/>
          <w:kern w:val="0"/>
          <w:szCs w:val="21"/>
          <w:highlight w:val="none"/>
          <w:lang w:val="en-US" w:eastAsia="zh-CN"/>
        </w:rPr>
        <w:t>、</w:t>
      </w:r>
      <w:r>
        <w:rPr>
          <w:rFonts w:hint="default"/>
          <w:kern w:val="0"/>
          <w:szCs w:val="21"/>
          <w:highlight w:val="none"/>
          <w:lang w:val="en-US" w:eastAsia="zh-CN"/>
        </w:rPr>
        <w:t>高度12.7 cm的带有标准源放置孔的圆柱体</w:t>
      </w:r>
      <w:r>
        <w:rPr>
          <w:rFonts w:hint="eastAsia"/>
          <w:kern w:val="0"/>
          <w:szCs w:val="21"/>
          <w:highlight w:val="none"/>
          <w:lang w:val="en-US" w:eastAsia="zh-CN"/>
        </w:rPr>
        <w:t>，模拟人体的颈部</w:t>
      </w:r>
      <w:r>
        <w:rPr>
          <w:rFonts w:hint="default"/>
          <w:kern w:val="0"/>
          <w:szCs w:val="21"/>
          <w:highlight w:val="none"/>
          <w:lang w:val="en-US" w:eastAsia="zh-CN"/>
        </w:rPr>
        <w:t>；人体甲状腺由直径</w:t>
      </w:r>
      <w:r>
        <w:rPr>
          <w:rFonts w:hint="eastAsia"/>
          <w:kern w:val="0"/>
          <w:szCs w:val="21"/>
          <w:highlight w:val="none"/>
          <w:lang w:val="en-US" w:eastAsia="zh-CN"/>
        </w:rPr>
        <w:t>3 c</w:t>
      </w:r>
      <w:r>
        <w:rPr>
          <w:rFonts w:hint="default"/>
          <w:kern w:val="0"/>
          <w:szCs w:val="21"/>
          <w:highlight w:val="none"/>
          <w:lang w:val="en-US" w:eastAsia="zh-CN"/>
        </w:rPr>
        <w:t>m</w:t>
      </w:r>
      <w:r>
        <w:rPr>
          <w:rFonts w:hint="eastAsia"/>
          <w:kern w:val="0"/>
          <w:szCs w:val="21"/>
          <w:highlight w:val="none"/>
          <w:lang w:val="en-US" w:eastAsia="zh-CN"/>
        </w:rPr>
        <w:t>、高度9 cm</w:t>
      </w:r>
      <w:r>
        <w:rPr>
          <w:rFonts w:hint="default"/>
          <w:kern w:val="0"/>
          <w:szCs w:val="21"/>
          <w:highlight w:val="none"/>
          <w:lang w:val="en-US" w:eastAsia="zh-CN"/>
        </w:rPr>
        <w:t>的圆柱形聚乙烯瓶模拟</w:t>
      </w:r>
      <w:r>
        <w:rPr>
          <w:rFonts w:hint="eastAsia"/>
          <w:kern w:val="0"/>
          <w:szCs w:val="21"/>
          <w:highlight w:val="none"/>
          <w:lang w:val="en-US" w:eastAsia="zh-CN"/>
        </w:rPr>
        <w:t>，标准源放置孔外边缘与模体外侧的最近距离为0.5 cm。</w:t>
      </w:r>
    </w:p>
    <w:p w14:paraId="7C3858BD">
      <w:pPr>
        <w:widowControl/>
        <w:numPr>
          <w:ilvl w:val="0"/>
          <w:numId w:val="0"/>
        </w:numPr>
        <w:spacing w:line="360" w:lineRule="auto"/>
        <w:jc w:val="center"/>
        <w:rPr>
          <w:rFonts w:hint="eastAsia" w:eastAsia="宋体"/>
          <w:kern w:val="0"/>
          <w:highlight w:val="none"/>
          <w:lang w:eastAsia="zh-CN"/>
        </w:rPr>
      </w:pPr>
      <w:r>
        <w:rPr>
          <w:rFonts w:hint="eastAsia" w:eastAsia="宋体"/>
          <w:kern w:val="0"/>
          <w:highlight w:val="none"/>
          <w:lang w:eastAsia="zh-CN"/>
        </w:rPr>
        <w:drawing>
          <wp:inline distT="0" distB="0" distL="114300" distR="114300">
            <wp:extent cx="2428240" cy="2232025"/>
            <wp:effectExtent l="0" t="0" r="10160" b="15875"/>
            <wp:docPr id="4" name="图片 4" descr="1722413357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413357244"/>
                    <pic:cNvPicPr>
                      <a:picLocks noChangeAspect="1"/>
                    </pic:cNvPicPr>
                  </pic:nvPicPr>
                  <pic:blipFill>
                    <a:blip r:embed="rId91"/>
                    <a:stretch>
                      <a:fillRect/>
                    </a:stretch>
                  </pic:blipFill>
                  <pic:spPr>
                    <a:xfrm>
                      <a:off x="0" y="0"/>
                      <a:ext cx="2428240" cy="2232025"/>
                    </a:xfrm>
                    <a:prstGeom prst="rect">
                      <a:avLst/>
                    </a:prstGeom>
                  </pic:spPr>
                </pic:pic>
              </a:graphicData>
            </a:graphic>
          </wp:inline>
        </w:drawing>
      </w:r>
    </w:p>
    <w:p w14:paraId="5FFB9F6A">
      <w:pPr>
        <w:widowControl/>
        <w:numPr>
          <w:ilvl w:val="0"/>
          <w:numId w:val="0"/>
        </w:numPr>
        <w:spacing w:line="360" w:lineRule="auto"/>
        <w:jc w:val="center"/>
        <w:rPr>
          <w:rFonts w:hint="default" w:eastAsia="宋体"/>
          <w:kern w:val="0"/>
          <w:highlight w:val="none"/>
          <w:lang w:val="en-US" w:eastAsia="zh-CN"/>
        </w:rPr>
      </w:pPr>
      <w:r>
        <w:rPr>
          <w:rFonts w:hint="eastAsia"/>
          <w:kern w:val="0"/>
          <w:highlight w:val="none"/>
          <w:lang w:eastAsia="zh-CN"/>
        </w:rPr>
        <w:t>图</w:t>
      </w:r>
      <w:r>
        <w:rPr>
          <w:rFonts w:hint="eastAsia"/>
          <w:kern w:val="0"/>
          <w:highlight w:val="none"/>
          <w:lang w:val="en-US" w:eastAsia="zh-CN"/>
        </w:rPr>
        <w:t>A.1  颈部模体结构示意图</w:t>
      </w:r>
    </w:p>
    <w:p w14:paraId="74F81F25">
      <w:pPr>
        <w:keepNext w:val="0"/>
        <w:keepLines w:val="0"/>
        <w:pageBreakBefore w:val="0"/>
        <w:widowControl/>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注：</w:t>
      </w:r>
    </w:p>
    <w:p w14:paraId="2DC55047">
      <w:pPr>
        <w:keepNext w:val="0"/>
        <w:keepLines w:val="0"/>
        <w:pageBreakBefore w:val="0"/>
        <w:widowControl/>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仿宋" w:hAnsi="仿宋" w:eastAsia="仿宋" w:cs="仿宋"/>
          <w:kern w:val="0"/>
          <w:sz w:val="21"/>
          <w:szCs w:val="21"/>
          <w:lang w:val="en-US" w:eastAsia="zh-CN"/>
        </w:rPr>
      </w:pPr>
      <w:r>
        <w:rPr>
          <w:rFonts w:hint="eastAsia" w:ascii="仿宋" w:hAnsi="仿宋" w:eastAsia="仿宋" w:cs="仿宋"/>
          <w:color w:val="auto"/>
          <w:kern w:val="0"/>
          <w:sz w:val="21"/>
          <w:szCs w:val="21"/>
          <w:lang w:val="en-US" w:eastAsia="zh-CN"/>
        </w:rPr>
        <w:t>1.来源：</w:t>
      </w:r>
      <w:r>
        <w:rPr>
          <w:rFonts w:hint="eastAsia" w:ascii="仿宋" w:hAnsi="仿宋" w:eastAsia="仿宋" w:cs="仿宋"/>
          <w:kern w:val="0"/>
          <w:sz w:val="21"/>
          <w:szCs w:val="21"/>
          <w:highlight w:val="none"/>
          <w:lang w:val="en-US" w:eastAsia="zh-CN"/>
        </w:rPr>
        <w:t>国际原子能机构（IAEA）和美国国家标准协会（ANSI）推荐的甲状腺测量用颈部模体，见</w:t>
      </w:r>
      <w:r>
        <w:rPr>
          <w:rFonts w:hint="eastAsia" w:ascii="仿宋" w:hAnsi="仿宋" w:eastAsia="仿宋" w:cs="仿宋"/>
          <w:kern w:val="0"/>
          <w:sz w:val="21"/>
          <w:szCs w:val="21"/>
          <w:lang w:val="en-US" w:eastAsia="zh-CN"/>
        </w:rPr>
        <w:t>ANSI/HPS N13.44</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2014</w:t>
      </w:r>
      <w:r>
        <w:rPr>
          <w:rFonts w:hint="eastAsia" w:ascii="仿宋" w:hAnsi="仿宋" w:eastAsia="仿宋" w:cs="仿宋"/>
          <w:kern w:val="0"/>
          <w:sz w:val="21"/>
          <w:szCs w:val="21"/>
          <w:highlight w:val="none"/>
          <w:lang w:val="en-US" w:eastAsia="zh-CN"/>
        </w:rPr>
        <w:t>《</w:t>
      </w:r>
      <w:r>
        <w:rPr>
          <w:rFonts w:hint="eastAsia" w:ascii="仿宋" w:hAnsi="仿宋" w:eastAsia="仿宋" w:cs="仿宋"/>
          <w:kern w:val="0"/>
          <w:sz w:val="21"/>
          <w:szCs w:val="21"/>
          <w:lang w:val="en-US" w:eastAsia="zh-CN"/>
        </w:rPr>
        <w:t>Thyroid Phantom Used in Occupational Monitoring</w:t>
      </w:r>
      <w:r>
        <w:rPr>
          <w:rFonts w:hint="eastAsia" w:ascii="仿宋" w:hAnsi="仿宋" w:eastAsia="仿宋" w:cs="仿宋"/>
          <w:kern w:val="0"/>
          <w:sz w:val="21"/>
          <w:szCs w:val="21"/>
          <w:highlight w:val="none"/>
          <w:lang w:val="en-US" w:eastAsia="zh-CN"/>
        </w:rPr>
        <w:t>》</w:t>
      </w:r>
      <w:r>
        <w:rPr>
          <w:rFonts w:hint="eastAsia" w:ascii="仿宋" w:hAnsi="仿宋" w:eastAsia="仿宋" w:cs="仿宋"/>
          <w:kern w:val="0"/>
          <w:sz w:val="21"/>
          <w:szCs w:val="21"/>
          <w:lang w:val="en-US" w:eastAsia="zh-CN"/>
        </w:rPr>
        <w:t>。</w:t>
      </w:r>
    </w:p>
    <w:p w14:paraId="4E9C8F4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kern w:val="0"/>
          <w:highlight w:val="none"/>
        </w:rPr>
      </w:pPr>
      <w:r>
        <w:rPr>
          <w:rFonts w:hint="eastAsia" w:ascii="仿宋" w:hAnsi="仿宋" w:eastAsia="仿宋" w:cs="仿宋"/>
          <w:kern w:val="0"/>
          <w:sz w:val="21"/>
          <w:szCs w:val="21"/>
          <w:lang w:val="en-US" w:eastAsia="zh-CN"/>
        </w:rPr>
        <w:t>2.也可采用T/WSJD 43</w:t>
      </w:r>
      <w:r>
        <w:rPr>
          <w:rFonts w:hint="default" w:ascii="仿宋" w:hAnsi="仿宋" w:eastAsia="仿宋" w:cs="仿宋"/>
          <w:kern w:val="0"/>
          <w:sz w:val="21"/>
          <w:szCs w:val="21"/>
          <w:lang w:val="en-US" w:eastAsia="zh-CN"/>
        </w:rPr>
        <w:t>—</w:t>
      </w:r>
      <w:r>
        <w:rPr>
          <w:rFonts w:hint="eastAsia" w:ascii="仿宋" w:hAnsi="仿宋" w:eastAsia="仿宋" w:cs="仿宋"/>
          <w:kern w:val="0"/>
          <w:sz w:val="21"/>
          <w:szCs w:val="21"/>
          <w:lang w:val="en-US" w:eastAsia="zh-CN"/>
        </w:rPr>
        <w:t>2023《甲状腺</w:t>
      </w:r>
      <w:r>
        <w:rPr>
          <w:rFonts w:hint="eastAsia" w:ascii="仿宋" w:hAnsi="仿宋" w:eastAsia="仿宋" w:cs="仿宋"/>
          <w:kern w:val="0"/>
          <w:sz w:val="21"/>
          <w:szCs w:val="21"/>
          <w:vertAlign w:val="superscript"/>
          <w:lang w:val="en-US" w:eastAsia="zh-CN"/>
        </w:rPr>
        <w:t>131</w:t>
      </w:r>
      <w:r>
        <w:rPr>
          <w:rFonts w:hint="eastAsia" w:ascii="仿宋" w:hAnsi="仿宋" w:eastAsia="仿宋" w:cs="仿宋"/>
          <w:kern w:val="0"/>
          <w:sz w:val="21"/>
          <w:szCs w:val="21"/>
          <w:lang w:val="en-US" w:eastAsia="zh-CN"/>
        </w:rPr>
        <w:t>I体外测量技术方法》附录A中介绍的模体。</w:t>
      </w:r>
    </w:p>
    <w:p w14:paraId="0A5D0EDE">
      <w:pPr>
        <w:widowControl/>
        <w:numPr>
          <w:ilvl w:val="0"/>
          <w:numId w:val="0"/>
        </w:numPr>
        <w:spacing w:line="360" w:lineRule="auto"/>
        <w:jc w:val="left"/>
        <w:rPr>
          <w:kern w:val="0"/>
          <w:highlight w:val="none"/>
        </w:rPr>
      </w:pPr>
    </w:p>
    <w:p w14:paraId="082FD2B0">
      <w:pPr>
        <w:widowControl/>
        <w:numPr>
          <w:ilvl w:val="0"/>
          <w:numId w:val="0"/>
        </w:numPr>
        <w:spacing w:line="360" w:lineRule="auto"/>
        <w:jc w:val="left"/>
        <w:rPr>
          <w:kern w:val="0"/>
          <w:highlight w:val="none"/>
        </w:rPr>
      </w:pPr>
    </w:p>
    <w:p w14:paraId="5C9688AF">
      <w:pPr>
        <w:widowControl/>
        <w:numPr>
          <w:ilvl w:val="0"/>
          <w:numId w:val="0"/>
        </w:numPr>
        <w:spacing w:line="360" w:lineRule="auto"/>
        <w:jc w:val="left"/>
        <w:rPr>
          <w:kern w:val="0"/>
          <w:highlight w:val="none"/>
        </w:rPr>
      </w:pPr>
    </w:p>
    <w:p w14:paraId="3625768E">
      <w:pPr>
        <w:widowControl/>
        <w:numPr>
          <w:ilvl w:val="0"/>
          <w:numId w:val="0"/>
        </w:numPr>
        <w:spacing w:line="360" w:lineRule="auto"/>
        <w:jc w:val="left"/>
        <w:rPr>
          <w:kern w:val="0"/>
          <w:highlight w:val="none"/>
        </w:rPr>
      </w:pPr>
    </w:p>
    <w:p w14:paraId="234E1E0E">
      <w:pPr>
        <w:widowControl/>
        <w:numPr>
          <w:ilvl w:val="0"/>
          <w:numId w:val="0"/>
        </w:numPr>
        <w:spacing w:line="360" w:lineRule="auto"/>
        <w:jc w:val="left"/>
        <w:rPr>
          <w:kern w:val="0"/>
          <w:highlight w:val="none"/>
        </w:rPr>
      </w:pPr>
    </w:p>
    <w:p w14:paraId="1FC1461E">
      <w:pPr>
        <w:widowControl/>
        <w:numPr>
          <w:ilvl w:val="0"/>
          <w:numId w:val="0"/>
        </w:numPr>
        <w:spacing w:line="360" w:lineRule="auto"/>
        <w:jc w:val="left"/>
        <w:rPr>
          <w:kern w:val="0"/>
          <w:highlight w:val="none"/>
        </w:rPr>
      </w:pPr>
    </w:p>
    <w:p w14:paraId="556D1A13">
      <w:pPr>
        <w:widowControl/>
        <w:numPr>
          <w:ilvl w:val="0"/>
          <w:numId w:val="0"/>
        </w:numPr>
        <w:spacing w:line="360" w:lineRule="auto"/>
        <w:jc w:val="left"/>
        <w:rPr>
          <w:kern w:val="0"/>
          <w:highlight w:val="none"/>
        </w:rPr>
      </w:pPr>
    </w:p>
    <w:p w14:paraId="3EDF5CA6">
      <w:pPr>
        <w:widowControl/>
        <w:numPr>
          <w:ilvl w:val="0"/>
          <w:numId w:val="0"/>
        </w:numPr>
        <w:spacing w:line="360" w:lineRule="auto"/>
        <w:jc w:val="left"/>
        <w:rPr>
          <w:kern w:val="0"/>
          <w:highlight w:val="none"/>
        </w:rPr>
      </w:pPr>
    </w:p>
    <w:p w14:paraId="7A4B2CC9">
      <w:pPr>
        <w:pStyle w:val="3"/>
        <w:keepNext w:val="0"/>
        <w:keepLines w:val="0"/>
        <w:pageBreakBefore w:val="0"/>
        <w:widowControl w:val="0"/>
        <w:tabs>
          <w:tab w:val="left" w:pos="1430"/>
          <w:tab w:val="center" w:pos="4680"/>
        </w:tabs>
        <w:kinsoku/>
        <w:wordWrap/>
        <w:overflowPunct/>
        <w:topLinePunct w:val="0"/>
        <w:autoSpaceDE/>
        <w:autoSpaceDN/>
        <w:bidi w:val="0"/>
        <w:adjustRightInd/>
        <w:snapToGrid/>
        <w:spacing w:before="148" w:beforeLines="50" w:line="240" w:lineRule="auto"/>
        <w:ind w:firstLine="0" w:firstLineChars="0"/>
        <w:jc w:val="left"/>
        <w:textAlignment w:val="auto"/>
        <w:outlineLvl w:val="0"/>
        <w:rPr>
          <w:rFonts w:hint="eastAsia" w:ascii="Times New Roman" w:hAnsi="Times New Roman" w:eastAsia="黑体"/>
          <w:sz w:val="28"/>
          <w:szCs w:val="22"/>
          <w:lang w:eastAsia="zh-CN"/>
        </w:rPr>
      </w:pPr>
      <w:bookmarkStart w:id="82" w:name="_Toc26003"/>
      <w:r>
        <w:rPr>
          <w:rFonts w:hint="eastAsia" w:ascii="Times New Roman" w:hAnsi="Times New Roman" w:eastAsia="黑体"/>
          <w:sz w:val="28"/>
          <w:szCs w:val="22"/>
        </w:rPr>
        <w:t>附录</w:t>
      </w:r>
      <w:bookmarkEnd w:id="80"/>
      <w:bookmarkStart w:id="83" w:name="_Toc12045"/>
      <w:r>
        <w:rPr>
          <w:rFonts w:hint="eastAsia" w:ascii="Times New Roman" w:hAnsi="Times New Roman" w:eastAsia="黑体"/>
          <w:sz w:val="28"/>
          <w:szCs w:val="22"/>
          <w:lang w:val="en-US" w:eastAsia="zh-CN"/>
        </w:rPr>
        <w:t>B</w:t>
      </w:r>
      <w:bookmarkEnd w:id="82"/>
    </w:p>
    <w:bookmarkEnd w:id="83"/>
    <w:p w14:paraId="0A82AA27">
      <w:pPr>
        <w:pStyle w:val="18"/>
        <w:keepNext w:val="0"/>
        <w:keepLines w:val="0"/>
        <w:pageBreakBefore w:val="0"/>
        <w:widowControl w:val="0"/>
        <w:kinsoku/>
        <w:wordWrap/>
        <w:overflowPunct/>
        <w:topLinePunct w:val="0"/>
        <w:autoSpaceDE/>
        <w:autoSpaceDN/>
        <w:bidi w:val="0"/>
        <w:adjustRightInd/>
        <w:snapToGrid/>
        <w:spacing w:before="0" w:beforeLines="0" w:after="148" w:afterLines="50" w:line="240" w:lineRule="auto"/>
        <w:ind w:firstLine="0" w:firstLineChars="0"/>
        <w:jc w:val="center"/>
        <w:textAlignment w:val="auto"/>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pPr>
      <w:bookmarkStart w:id="84" w:name="_Toc25024"/>
      <w:bookmarkStart w:id="85" w:name="_Toc20877"/>
      <w:bookmarkStart w:id="86" w:name="_Toc14741"/>
      <w:bookmarkStart w:id="87" w:name="_Toc1615"/>
      <w:r>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t>甲状腺碘测量仪校准原始记录（推荐）格式</w:t>
      </w:r>
      <w:bookmarkEnd w:id="84"/>
      <w:bookmarkEnd w:id="85"/>
      <w:bookmarkEnd w:id="86"/>
      <w:bookmarkEnd w:id="87"/>
    </w:p>
    <w:tbl>
      <w:tblPr>
        <w:tblStyle w:val="1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531"/>
        <w:gridCol w:w="1009"/>
        <w:gridCol w:w="737"/>
        <w:gridCol w:w="127"/>
        <w:gridCol w:w="1175"/>
        <w:gridCol w:w="445"/>
        <w:gridCol w:w="1129"/>
        <w:gridCol w:w="617"/>
        <w:gridCol w:w="1747"/>
      </w:tblGrid>
      <w:tr w14:paraId="51CF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518EC1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送</w:t>
            </w:r>
            <w:r>
              <w:rPr>
                <w:rFonts w:hint="eastAsia"/>
                <w:sz w:val="21"/>
                <w:szCs w:val="21"/>
                <w:lang w:eastAsia="zh-CN"/>
              </w:rPr>
              <w:t>校</w:t>
            </w:r>
            <w:r>
              <w:rPr>
                <w:rFonts w:hint="eastAsia"/>
                <w:sz w:val="21"/>
                <w:szCs w:val="21"/>
              </w:rPr>
              <w:t>单位</w:t>
            </w:r>
          </w:p>
        </w:tc>
        <w:tc>
          <w:tcPr>
            <w:tcW w:w="1704" w:type="pct"/>
            <w:gridSpan w:val="4"/>
            <w:noWrap w:val="0"/>
            <w:vAlign w:val="center"/>
          </w:tcPr>
          <w:p w14:paraId="5E0FF7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0D1FD2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申请人</w:t>
            </w:r>
          </w:p>
        </w:tc>
        <w:tc>
          <w:tcPr>
            <w:tcW w:w="1321" w:type="pct"/>
            <w:gridSpan w:val="2"/>
            <w:noWrap w:val="0"/>
            <w:vAlign w:val="center"/>
          </w:tcPr>
          <w:p w14:paraId="274762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648C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56B2FB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校准</w:t>
            </w:r>
            <w:r>
              <w:rPr>
                <w:rFonts w:hint="eastAsia"/>
                <w:sz w:val="21"/>
                <w:szCs w:val="21"/>
              </w:rPr>
              <w:t>地点</w:t>
            </w:r>
          </w:p>
        </w:tc>
        <w:tc>
          <w:tcPr>
            <w:tcW w:w="1704" w:type="pct"/>
            <w:gridSpan w:val="4"/>
            <w:noWrap w:val="0"/>
            <w:vAlign w:val="center"/>
          </w:tcPr>
          <w:p w14:paraId="738D75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7D9F48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电话</w:t>
            </w:r>
          </w:p>
        </w:tc>
        <w:tc>
          <w:tcPr>
            <w:tcW w:w="1321" w:type="pct"/>
            <w:gridSpan w:val="2"/>
            <w:noWrap w:val="0"/>
            <w:vAlign w:val="center"/>
          </w:tcPr>
          <w:p w14:paraId="428EE6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6164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22C8D5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证书编号</w:t>
            </w:r>
          </w:p>
        </w:tc>
        <w:tc>
          <w:tcPr>
            <w:tcW w:w="1704" w:type="pct"/>
            <w:gridSpan w:val="4"/>
            <w:noWrap w:val="0"/>
            <w:vAlign w:val="center"/>
          </w:tcPr>
          <w:p w14:paraId="371A2D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1E90DC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结论</w:t>
            </w:r>
          </w:p>
        </w:tc>
        <w:tc>
          <w:tcPr>
            <w:tcW w:w="1321" w:type="pct"/>
            <w:gridSpan w:val="2"/>
            <w:noWrap w:val="0"/>
            <w:vAlign w:val="center"/>
          </w:tcPr>
          <w:p w14:paraId="0D3640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2FCA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restart"/>
            <w:noWrap w:val="0"/>
            <w:vAlign w:val="center"/>
          </w:tcPr>
          <w:p w14:paraId="655D53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被</w:t>
            </w:r>
            <w:r>
              <w:rPr>
                <w:rFonts w:hint="eastAsia"/>
                <w:sz w:val="21"/>
                <w:szCs w:val="21"/>
                <w:lang w:eastAsia="zh-CN"/>
              </w:rPr>
              <w:t>校</w:t>
            </w:r>
            <w:r>
              <w:rPr>
                <w:rFonts w:hint="eastAsia"/>
                <w:sz w:val="21"/>
                <w:szCs w:val="21"/>
              </w:rPr>
              <w:t>器具</w:t>
            </w:r>
          </w:p>
        </w:tc>
        <w:tc>
          <w:tcPr>
            <w:tcW w:w="855" w:type="pct"/>
            <w:noWrap w:val="0"/>
            <w:vAlign w:val="center"/>
          </w:tcPr>
          <w:p w14:paraId="008367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名称</w:t>
            </w:r>
          </w:p>
        </w:tc>
        <w:tc>
          <w:tcPr>
            <w:tcW w:w="1704" w:type="pct"/>
            <w:gridSpan w:val="4"/>
            <w:noWrap w:val="0"/>
            <w:vAlign w:val="center"/>
          </w:tcPr>
          <w:p w14:paraId="40BF36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sz w:val="21"/>
                <w:szCs w:val="21"/>
              </w:rPr>
            </w:pPr>
          </w:p>
        </w:tc>
        <w:tc>
          <w:tcPr>
            <w:tcW w:w="880" w:type="pct"/>
            <w:gridSpan w:val="2"/>
            <w:noWrap w:val="0"/>
            <w:vAlign w:val="center"/>
          </w:tcPr>
          <w:p w14:paraId="426DB7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型号</w:t>
            </w:r>
            <w:r>
              <w:rPr>
                <w:rFonts w:hint="eastAsia"/>
                <w:sz w:val="21"/>
                <w:szCs w:val="21"/>
                <w:lang w:val="en-US" w:eastAsia="zh-CN"/>
              </w:rPr>
              <w:t>/</w:t>
            </w:r>
            <w:r>
              <w:rPr>
                <w:rFonts w:hint="eastAsia"/>
                <w:sz w:val="21"/>
                <w:szCs w:val="21"/>
              </w:rPr>
              <w:t>编号</w:t>
            </w:r>
          </w:p>
        </w:tc>
        <w:tc>
          <w:tcPr>
            <w:tcW w:w="1321" w:type="pct"/>
            <w:gridSpan w:val="2"/>
            <w:noWrap w:val="0"/>
            <w:vAlign w:val="center"/>
          </w:tcPr>
          <w:p w14:paraId="330F45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6BB4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0E73DB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3DB80A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制造厂</w:t>
            </w:r>
          </w:p>
        </w:tc>
        <w:tc>
          <w:tcPr>
            <w:tcW w:w="1704" w:type="pct"/>
            <w:gridSpan w:val="4"/>
            <w:noWrap w:val="0"/>
            <w:vAlign w:val="center"/>
          </w:tcPr>
          <w:p w14:paraId="549E54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0B37AA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类型</w:t>
            </w:r>
          </w:p>
        </w:tc>
        <w:tc>
          <w:tcPr>
            <w:tcW w:w="1321" w:type="pct"/>
            <w:gridSpan w:val="2"/>
            <w:noWrap w:val="0"/>
            <w:vAlign w:val="center"/>
          </w:tcPr>
          <w:p w14:paraId="2D5C05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color w:val="auto"/>
                <w:sz w:val="21"/>
                <w:szCs w:val="21"/>
              </w:rPr>
              <w:t>□</w:t>
            </w:r>
            <w:r>
              <w:rPr>
                <w:rFonts w:hint="eastAsia"/>
                <w:color w:val="auto"/>
                <w:sz w:val="21"/>
                <w:szCs w:val="21"/>
                <w:lang w:eastAsia="zh-CN"/>
              </w:rPr>
              <w:t>能谱型</w:t>
            </w:r>
            <w:r>
              <w:rPr>
                <w:rFonts w:hint="eastAsia"/>
                <w:color w:val="auto"/>
                <w:sz w:val="21"/>
                <w:szCs w:val="21"/>
              </w:rPr>
              <w:t xml:space="preserve"> □</w:t>
            </w:r>
            <w:r>
              <w:rPr>
                <w:rFonts w:hint="eastAsia"/>
                <w:color w:val="auto"/>
                <w:sz w:val="21"/>
                <w:szCs w:val="21"/>
                <w:lang w:eastAsia="zh-CN"/>
              </w:rPr>
              <w:t>计数型</w:t>
            </w:r>
          </w:p>
        </w:tc>
      </w:tr>
      <w:tr w14:paraId="4FF5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1D1D0D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035293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校准</w:t>
            </w:r>
            <w:r>
              <w:rPr>
                <w:rFonts w:hint="eastAsia"/>
                <w:sz w:val="21"/>
                <w:szCs w:val="21"/>
              </w:rPr>
              <w:t>时间</w:t>
            </w:r>
          </w:p>
        </w:tc>
        <w:tc>
          <w:tcPr>
            <w:tcW w:w="1704" w:type="pct"/>
            <w:gridSpan w:val="4"/>
            <w:noWrap w:val="0"/>
            <w:vAlign w:val="center"/>
          </w:tcPr>
          <w:p w14:paraId="5D812B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2C537F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下次</w:t>
            </w:r>
            <w:r>
              <w:rPr>
                <w:rFonts w:hint="eastAsia"/>
                <w:sz w:val="21"/>
                <w:szCs w:val="21"/>
                <w:lang w:eastAsia="zh-CN"/>
              </w:rPr>
              <w:t>校准</w:t>
            </w:r>
            <w:r>
              <w:rPr>
                <w:rFonts w:hint="eastAsia"/>
                <w:sz w:val="21"/>
                <w:szCs w:val="21"/>
              </w:rPr>
              <w:t>时间</w:t>
            </w:r>
          </w:p>
        </w:tc>
        <w:tc>
          <w:tcPr>
            <w:tcW w:w="1321" w:type="pct"/>
            <w:gridSpan w:val="2"/>
            <w:noWrap w:val="0"/>
            <w:vAlign w:val="center"/>
          </w:tcPr>
          <w:p w14:paraId="6B2C68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455F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2EA4CD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5F7204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外观检查</w:t>
            </w:r>
          </w:p>
        </w:tc>
        <w:tc>
          <w:tcPr>
            <w:tcW w:w="564" w:type="pct"/>
            <w:noWrap w:val="0"/>
            <w:vAlign w:val="center"/>
          </w:tcPr>
          <w:p w14:paraId="0F8131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校准</w:t>
            </w:r>
            <w:r>
              <w:rPr>
                <w:rFonts w:hint="eastAsia"/>
                <w:sz w:val="21"/>
                <w:szCs w:val="21"/>
              </w:rPr>
              <w:t>前</w:t>
            </w:r>
          </w:p>
        </w:tc>
        <w:tc>
          <w:tcPr>
            <w:tcW w:w="1139" w:type="pct"/>
            <w:gridSpan w:val="3"/>
            <w:noWrap w:val="0"/>
            <w:vAlign w:val="center"/>
          </w:tcPr>
          <w:p w14:paraId="0FBF84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□正常 □异常____</w:t>
            </w:r>
          </w:p>
        </w:tc>
        <w:tc>
          <w:tcPr>
            <w:tcW w:w="880" w:type="pct"/>
            <w:gridSpan w:val="2"/>
            <w:noWrap w:val="0"/>
            <w:vAlign w:val="center"/>
          </w:tcPr>
          <w:p w14:paraId="10EB8B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校准</w:t>
            </w:r>
            <w:r>
              <w:rPr>
                <w:rFonts w:hint="eastAsia"/>
                <w:sz w:val="21"/>
                <w:szCs w:val="21"/>
              </w:rPr>
              <w:t>后</w:t>
            </w:r>
          </w:p>
        </w:tc>
        <w:tc>
          <w:tcPr>
            <w:tcW w:w="1321" w:type="pct"/>
            <w:gridSpan w:val="2"/>
            <w:noWrap w:val="0"/>
            <w:vAlign w:val="center"/>
          </w:tcPr>
          <w:p w14:paraId="48C3DE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□正常 □异常____</w:t>
            </w:r>
          </w:p>
        </w:tc>
      </w:tr>
      <w:tr w14:paraId="016E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0E6D44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技术依据</w:t>
            </w:r>
          </w:p>
        </w:tc>
        <w:tc>
          <w:tcPr>
            <w:tcW w:w="3905" w:type="pct"/>
            <w:gridSpan w:val="8"/>
            <w:noWrap w:val="0"/>
            <w:vAlign w:val="center"/>
          </w:tcPr>
          <w:p w14:paraId="3A88BC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447F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68CD7B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环境条件</w:t>
            </w:r>
          </w:p>
        </w:tc>
        <w:tc>
          <w:tcPr>
            <w:tcW w:w="3905" w:type="pct"/>
            <w:gridSpan w:val="8"/>
            <w:noWrap w:val="0"/>
            <w:vAlign w:val="center"/>
          </w:tcPr>
          <w:p w14:paraId="7E48D4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sz w:val="21"/>
                <w:szCs w:val="21"/>
              </w:rPr>
            </w:pPr>
            <w:r>
              <w:rPr>
                <w:sz w:val="21"/>
                <w:szCs w:val="21"/>
              </w:rPr>
              <w:t>温度：   ℃；气压：   kPa; 相对湿度：   %</w:t>
            </w:r>
          </w:p>
        </w:tc>
      </w:tr>
      <w:tr w14:paraId="4553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restart"/>
            <w:noWrap w:val="0"/>
            <w:vAlign w:val="center"/>
          </w:tcPr>
          <w:p w14:paraId="15B4EF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计量标准</w:t>
            </w:r>
          </w:p>
        </w:tc>
        <w:tc>
          <w:tcPr>
            <w:tcW w:w="855" w:type="pct"/>
            <w:noWrap w:val="0"/>
            <w:vAlign w:val="center"/>
          </w:tcPr>
          <w:p w14:paraId="10A8D7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名称</w:t>
            </w:r>
          </w:p>
        </w:tc>
        <w:tc>
          <w:tcPr>
            <w:tcW w:w="3905" w:type="pct"/>
            <w:gridSpan w:val="8"/>
            <w:noWrap w:val="0"/>
            <w:vAlign w:val="center"/>
          </w:tcPr>
          <w:p w14:paraId="1F2AEE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09F5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3E91C1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0E5082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sz w:val="21"/>
                <w:szCs w:val="21"/>
              </w:rPr>
            </w:pPr>
            <w:r>
              <w:rPr>
                <w:rFonts w:hint="eastAsia"/>
                <w:sz w:val="21"/>
                <w:szCs w:val="21"/>
              </w:rPr>
              <w:t>测量范围</w:t>
            </w:r>
          </w:p>
        </w:tc>
        <w:tc>
          <w:tcPr>
            <w:tcW w:w="1704" w:type="pct"/>
            <w:gridSpan w:val="4"/>
            <w:noWrap w:val="0"/>
            <w:vAlign w:val="center"/>
          </w:tcPr>
          <w:p w14:paraId="73DC1E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3D29F9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不确定度</w:t>
            </w:r>
          </w:p>
        </w:tc>
        <w:tc>
          <w:tcPr>
            <w:tcW w:w="1321" w:type="pct"/>
            <w:gridSpan w:val="2"/>
            <w:noWrap w:val="0"/>
            <w:vAlign w:val="center"/>
          </w:tcPr>
          <w:p w14:paraId="4D5FD7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5D835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571D77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1C57D7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证书号</w:t>
            </w:r>
          </w:p>
        </w:tc>
        <w:tc>
          <w:tcPr>
            <w:tcW w:w="1704" w:type="pct"/>
            <w:gridSpan w:val="4"/>
            <w:noWrap w:val="0"/>
            <w:vAlign w:val="center"/>
          </w:tcPr>
          <w:p w14:paraId="7788A4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69A416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有效期</w:t>
            </w:r>
          </w:p>
        </w:tc>
        <w:tc>
          <w:tcPr>
            <w:tcW w:w="1321" w:type="pct"/>
            <w:gridSpan w:val="2"/>
            <w:noWrap w:val="0"/>
            <w:vAlign w:val="center"/>
          </w:tcPr>
          <w:p w14:paraId="11A888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sz w:val="21"/>
                <w:szCs w:val="21"/>
              </w:rPr>
            </w:pPr>
          </w:p>
        </w:tc>
      </w:tr>
      <w:tr w14:paraId="7064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restart"/>
            <w:noWrap w:val="0"/>
            <w:vAlign w:val="center"/>
          </w:tcPr>
          <w:p w14:paraId="0BB254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主标准器</w:t>
            </w:r>
          </w:p>
        </w:tc>
        <w:tc>
          <w:tcPr>
            <w:tcW w:w="855" w:type="pct"/>
            <w:noWrap w:val="0"/>
            <w:vAlign w:val="center"/>
          </w:tcPr>
          <w:p w14:paraId="4D407C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名称</w:t>
            </w:r>
          </w:p>
        </w:tc>
        <w:tc>
          <w:tcPr>
            <w:tcW w:w="1704" w:type="pct"/>
            <w:gridSpan w:val="4"/>
            <w:noWrap w:val="0"/>
            <w:vAlign w:val="center"/>
          </w:tcPr>
          <w:p w14:paraId="74A1899C">
            <w:pPr>
              <w:keepNext w:val="0"/>
              <w:keepLines w:val="0"/>
              <w:pageBreakBefore w:val="0"/>
              <w:widowControl w:val="0"/>
              <w:tabs>
                <w:tab w:val="left" w:pos="2453"/>
              </w:tabs>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6307BB9C">
            <w:pPr>
              <w:keepNext w:val="0"/>
              <w:keepLines w:val="0"/>
              <w:pageBreakBefore w:val="0"/>
              <w:widowControl w:val="0"/>
              <w:tabs>
                <w:tab w:val="left" w:pos="2453"/>
              </w:tabs>
              <w:kinsoku/>
              <w:wordWrap/>
              <w:overflowPunct/>
              <w:topLinePunct w:val="0"/>
              <w:autoSpaceDE/>
              <w:autoSpaceDN/>
              <w:bidi w:val="0"/>
              <w:adjustRightInd/>
              <w:snapToGrid/>
              <w:spacing w:line="240" w:lineRule="auto"/>
              <w:ind w:firstLine="0" w:firstLineChars="0"/>
              <w:jc w:val="center"/>
              <w:textAlignment w:val="auto"/>
              <w:rPr>
                <w:sz w:val="21"/>
                <w:szCs w:val="21"/>
              </w:rPr>
            </w:pPr>
            <w:r>
              <w:rPr>
                <w:rFonts w:hint="eastAsia"/>
                <w:sz w:val="21"/>
                <w:szCs w:val="21"/>
              </w:rPr>
              <w:t>型号</w:t>
            </w:r>
          </w:p>
        </w:tc>
        <w:tc>
          <w:tcPr>
            <w:tcW w:w="1321" w:type="pct"/>
            <w:gridSpan w:val="2"/>
            <w:noWrap w:val="0"/>
            <w:vAlign w:val="center"/>
          </w:tcPr>
          <w:p w14:paraId="15C44961">
            <w:pPr>
              <w:keepNext w:val="0"/>
              <w:keepLines w:val="0"/>
              <w:pageBreakBefore w:val="0"/>
              <w:widowControl w:val="0"/>
              <w:tabs>
                <w:tab w:val="left" w:pos="2453"/>
              </w:tabs>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45A6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5395A3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6DDC73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测量范围</w:t>
            </w:r>
          </w:p>
        </w:tc>
        <w:tc>
          <w:tcPr>
            <w:tcW w:w="1704" w:type="pct"/>
            <w:gridSpan w:val="4"/>
            <w:noWrap w:val="0"/>
            <w:vAlign w:val="center"/>
          </w:tcPr>
          <w:p w14:paraId="2FCEDF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31AED7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编号</w:t>
            </w:r>
          </w:p>
        </w:tc>
        <w:tc>
          <w:tcPr>
            <w:tcW w:w="1321" w:type="pct"/>
            <w:gridSpan w:val="2"/>
            <w:noWrap w:val="0"/>
            <w:vAlign w:val="center"/>
          </w:tcPr>
          <w:p w14:paraId="71CEBB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6D84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0E60D5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1D5F77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不确定度</w:t>
            </w:r>
          </w:p>
        </w:tc>
        <w:tc>
          <w:tcPr>
            <w:tcW w:w="1704" w:type="pct"/>
            <w:gridSpan w:val="4"/>
            <w:noWrap w:val="0"/>
            <w:vAlign w:val="center"/>
          </w:tcPr>
          <w:p w14:paraId="2556C5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00D8EC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证书号</w:t>
            </w:r>
          </w:p>
        </w:tc>
        <w:tc>
          <w:tcPr>
            <w:tcW w:w="1321" w:type="pct"/>
            <w:gridSpan w:val="2"/>
            <w:noWrap w:val="0"/>
            <w:vAlign w:val="center"/>
          </w:tcPr>
          <w:p w14:paraId="6E7348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1DE5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noWrap w:val="0"/>
            <w:vAlign w:val="center"/>
          </w:tcPr>
          <w:p w14:paraId="1E20DE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noWrap w:val="0"/>
            <w:vAlign w:val="center"/>
          </w:tcPr>
          <w:p w14:paraId="1DAC79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溯源机构</w:t>
            </w:r>
          </w:p>
        </w:tc>
        <w:tc>
          <w:tcPr>
            <w:tcW w:w="1704" w:type="pct"/>
            <w:gridSpan w:val="4"/>
            <w:noWrap w:val="0"/>
            <w:vAlign w:val="center"/>
          </w:tcPr>
          <w:p w14:paraId="6916A1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074199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有效期</w:t>
            </w:r>
          </w:p>
        </w:tc>
        <w:tc>
          <w:tcPr>
            <w:tcW w:w="1321" w:type="pct"/>
            <w:gridSpan w:val="2"/>
            <w:noWrap w:val="0"/>
            <w:vAlign w:val="center"/>
          </w:tcPr>
          <w:p w14:paraId="750434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7D31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38" w:type="pct"/>
            <w:vMerge w:val="continue"/>
            <w:tcBorders>
              <w:bottom w:val="single" w:color="auto" w:sz="4" w:space="0"/>
            </w:tcBorders>
            <w:noWrap w:val="0"/>
            <w:vAlign w:val="center"/>
          </w:tcPr>
          <w:p w14:paraId="2002C3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55" w:type="pct"/>
            <w:tcBorders>
              <w:bottom w:val="single" w:color="auto" w:sz="4" w:space="0"/>
            </w:tcBorders>
            <w:noWrap w:val="0"/>
            <w:vAlign w:val="center"/>
          </w:tcPr>
          <w:p w14:paraId="341E0D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使用记录</w:t>
            </w:r>
          </w:p>
        </w:tc>
        <w:tc>
          <w:tcPr>
            <w:tcW w:w="564" w:type="pct"/>
            <w:tcBorders>
              <w:bottom w:val="single" w:color="auto" w:sz="4" w:space="0"/>
            </w:tcBorders>
            <w:noWrap w:val="0"/>
            <w:vAlign w:val="center"/>
          </w:tcPr>
          <w:p w14:paraId="48404C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使用前</w:t>
            </w:r>
          </w:p>
        </w:tc>
        <w:tc>
          <w:tcPr>
            <w:tcW w:w="1139" w:type="pct"/>
            <w:gridSpan w:val="3"/>
            <w:tcBorders>
              <w:bottom w:val="single" w:color="auto" w:sz="4" w:space="0"/>
            </w:tcBorders>
            <w:noWrap w:val="0"/>
            <w:vAlign w:val="center"/>
          </w:tcPr>
          <w:p w14:paraId="4A2F30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□正常 □异常____</w:t>
            </w:r>
          </w:p>
        </w:tc>
        <w:tc>
          <w:tcPr>
            <w:tcW w:w="880" w:type="pct"/>
            <w:gridSpan w:val="2"/>
            <w:tcBorders>
              <w:bottom w:val="single" w:color="auto" w:sz="4" w:space="0"/>
            </w:tcBorders>
            <w:noWrap w:val="0"/>
            <w:vAlign w:val="center"/>
          </w:tcPr>
          <w:p w14:paraId="036879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使用后</w:t>
            </w:r>
          </w:p>
        </w:tc>
        <w:tc>
          <w:tcPr>
            <w:tcW w:w="1321" w:type="pct"/>
            <w:gridSpan w:val="2"/>
            <w:tcBorders>
              <w:bottom w:val="single" w:color="auto" w:sz="4" w:space="0"/>
            </w:tcBorders>
            <w:noWrap w:val="0"/>
            <w:vAlign w:val="center"/>
          </w:tcPr>
          <w:p w14:paraId="3E04F7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□正常 □异常____</w:t>
            </w:r>
          </w:p>
        </w:tc>
      </w:tr>
      <w:tr w14:paraId="3F2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337039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校准</w:t>
            </w:r>
            <w:r>
              <w:rPr>
                <w:rFonts w:hint="eastAsia"/>
                <w:sz w:val="21"/>
                <w:szCs w:val="21"/>
              </w:rPr>
              <w:t>员</w:t>
            </w:r>
          </w:p>
        </w:tc>
        <w:tc>
          <w:tcPr>
            <w:tcW w:w="564" w:type="pct"/>
            <w:noWrap w:val="0"/>
            <w:vAlign w:val="center"/>
          </w:tcPr>
          <w:p w14:paraId="3C9730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483" w:type="pct"/>
            <w:gridSpan w:val="2"/>
            <w:noWrap w:val="0"/>
            <w:vAlign w:val="center"/>
          </w:tcPr>
          <w:p w14:paraId="42D7CE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核验员</w:t>
            </w:r>
          </w:p>
        </w:tc>
        <w:tc>
          <w:tcPr>
            <w:tcW w:w="656" w:type="pct"/>
            <w:noWrap w:val="0"/>
            <w:vAlign w:val="center"/>
          </w:tcPr>
          <w:p w14:paraId="63E1A1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880" w:type="pct"/>
            <w:gridSpan w:val="2"/>
            <w:noWrap w:val="0"/>
            <w:vAlign w:val="center"/>
          </w:tcPr>
          <w:p w14:paraId="5C7E81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rPr>
              <w:t>核验时间</w:t>
            </w:r>
          </w:p>
        </w:tc>
        <w:tc>
          <w:tcPr>
            <w:tcW w:w="1321" w:type="pct"/>
            <w:gridSpan w:val="2"/>
            <w:noWrap w:val="0"/>
            <w:vAlign w:val="center"/>
          </w:tcPr>
          <w:p w14:paraId="386E39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5E59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noWrap w:val="0"/>
            <w:vAlign w:val="center"/>
          </w:tcPr>
          <w:p w14:paraId="1B3C07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外观及功能性检查</w:t>
            </w:r>
          </w:p>
        </w:tc>
        <w:tc>
          <w:tcPr>
            <w:tcW w:w="3905" w:type="pct"/>
            <w:gridSpan w:val="8"/>
            <w:noWrap w:val="0"/>
            <w:vAlign w:val="center"/>
          </w:tcPr>
          <w:p w14:paraId="728DF9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ascii="宋体" w:hAnsi="宋体" w:cs="宋体"/>
                <w:kern w:val="0"/>
                <w:sz w:val="21"/>
                <w:szCs w:val="21"/>
                <w:highlight w:val="none"/>
              </w:rPr>
              <w:t>□</w:t>
            </w:r>
            <w:r>
              <w:rPr>
                <w:kern w:val="0"/>
                <w:sz w:val="21"/>
                <w:szCs w:val="21"/>
                <w:highlight w:val="none"/>
              </w:rPr>
              <w:t xml:space="preserve">符合要求  </w:t>
            </w:r>
            <w:r>
              <w:rPr>
                <w:rFonts w:hint="eastAsia" w:ascii="宋体" w:hAnsi="宋体" w:cs="宋体"/>
                <w:kern w:val="0"/>
                <w:sz w:val="21"/>
                <w:szCs w:val="21"/>
                <w:highlight w:val="none"/>
              </w:rPr>
              <w:sym w:font="Wingdings 2" w:char="00A3"/>
            </w:r>
            <w:r>
              <w:rPr>
                <w:kern w:val="0"/>
                <w:sz w:val="21"/>
                <w:szCs w:val="21"/>
                <w:highlight w:val="none"/>
              </w:rPr>
              <w:t>不符合要求</w:t>
            </w:r>
            <w:r>
              <w:rPr>
                <w:rFonts w:hint="eastAsia"/>
                <w:sz w:val="21"/>
                <w:szCs w:val="21"/>
              </w:rPr>
              <w:t>____________</w:t>
            </w:r>
          </w:p>
        </w:tc>
      </w:tr>
      <w:tr w14:paraId="4294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restart"/>
            <w:noWrap w:val="0"/>
            <w:vAlign w:val="center"/>
          </w:tcPr>
          <w:p w14:paraId="459B32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本底计数率</w:t>
            </w:r>
          </w:p>
        </w:tc>
        <w:tc>
          <w:tcPr>
            <w:tcW w:w="976" w:type="pct"/>
            <w:gridSpan w:val="2"/>
            <w:noWrap w:val="0"/>
            <w:vAlign w:val="center"/>
          </w:tcPr>
          <w:p w14:paraId="3C0267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val="en-US" w:eastAsia="zh-CN"/>
              </w:rPr>
            </w:pPr>
            <w:r>
              <w:rPr>
                <w:rFonts w:hint="eastAsia"/>
                <w:sz w:val="21"/>
                <w:szCs w:val="21"/>
                <w:lang w:eastAsia="zh-CN"/>
              </w:rPr>
              <w:t>全谱计数</w:t>
            </w:r>
          </w:p>
        </w:tc>
        <w:tc>
          <w:tcPr>
            <w:tcW w:w="976" w:type="pct"/>
            <w:gridSpan w:val="3"/>
            <w:noWrap w:val="0"/>
            <w:vAlign w:val="center"/>
          </w:tcPr>
          <w:p w14:paraId="63289D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sz w:val="21"/>
                <w:szCs w:val="21"/>
                <w:lang w:val="en-US" w:eastAsia="zh-CN"/>
              </w:rPr>
            </w:pPr>
            <w:r>
              <w:rPr>
                <w:rFonts w:hint="eastAsia"/>
                <w:sz w:val="21"/>
                <w:szCs w:val="21"/>
                <w:lang w:eastAsia="zh-CN"/>
              </w:rPr>
              <w:t>测量时间</w:t>
            </w:r>
            <w:r>
              <w:rPr>
                <w:rFonts w:hint="eastAsia" w:ascii="宋体" w:hAnsi="宋体" w:eastAsia="宋体" w:cs="宋体"/>
                <w:sz w:val="21"/>
                <w:szCs w:val="21"/>
                <w:lang w:val="en-US" w:eastAsia="zh-CN"/>
              </w:rPr>
              <w:t>/</w:t>
            </w:r>
            <w:r>
              <w:rPr>
                <w:rFonts w:hint="eastAsia"/>
                <w:kern w:val="0"/>
                <w:sz w:val="21"/>
                <w:szCs w:val="21"/>
                <w:lang w:val="en-US" w:eastAsia="zh-CN"/>
              </w:rPr>
              <w:t>s</w:t>
            </w:r>
          </w:p>
        </w:tc>
        <w:tc>
          <w:tcPr>
            <w:tcW w:w="976" w:type="pct"/>
            <w:gridSpan w:val="2"/>
            <w:noWrap w:val="0"/>
            <w:vAlign w:val="center"/>
          </w:tcPr>
          <w:p w14:paraId="6BFABF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r>
              <w:rPr>
                <w:rFonts w:hint="eastAsia"/>
                <w:sz w:val="21"/>
                <w:szCs w:val="21"/>
                <w:lang w:eastAsia="zh-CN"/>
              </w:rPr>
              <w:t>本底计数率</w:t>
            </w:r>
            <w:r>
              <w:rPr>
                <w:rFonts w:hint="eastAsia" w:ascii="宋体" w:hAnsi="宋体" w:eastAsia="宋体" w:cs="宋体"/>
                <w:sz w:val="21"/>
                <w:szCs w:val="21"/>
                <w:lang w:val="en-US" w:eastAsia="zh-CN"/>
              </w:rPr>
              <w:t>/</w:t>
            </w:r>
            <w:r>
              <w:rPr>
                <w:rFonts w:hint="eastAsia"/>
                <w:kern w:val="0"/>
                <w:sz w:val="21"/>
                <w:szCs w:val="21"/>
                <w:lang w:val="en-US" w:eastAsia="zh-CN"/>
              </w:rPr>
              <w:t>s</w:t>
            </w:r>
            <w:r>
              <w:rPr>
                <w:rFonts w:hint="eastAsia"/>
                <w:kern w:val="0"/>
                <w:sz w:val="21"/>
                <w:szCs w:val="21"/>
                <w:vertAlign w:val="superscript"/>
                <w:lang w:val="en-US" w:eastAsia="zh-CN"/>
              </w:rPr>
              <w:t>-1</w:t>
            </w:r>
          </w:p>
        </w:tc>
        <w:tc>
          <w:tcPr>
            <w:tcW w:w="976" w:type="pct"/>
            <w:noWrap w:val="0"/>
            <w:vAlign w:val="center"/>
          </w:tcPr>
          <w:p w14:paraId="510996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技术要求</w:t>
            </w:r>
          </w:p>
        </w:tc>
      </w:tr>
      <w:tr w14:paraId="0F04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continue"/>
            <w:noWrap w:val="0"/>
            <w:vAlign w:val="center"/>
          </w:tcPr>
          <w:p w14:paraId="120137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p>
        </w:tc>
        <w:tc>
          <w:tcPr>
            <w:tcW w:w="976" w:type="pct"/>
            <w:gridSpan w:val="2"/>
            <w:noWrap w:val="0"/>
            <w:vAlign w:val="center"/>
          </w:tcPr>
          <w:p w14:paraId="585633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3"/>
            <w:noWrap w:val="0"/>
            <w:vAlign w:val="center"/>
          </w:tcPr>
          <w:p w14:paraId="4BCA0F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2"/>
            <w:noWrap w:val="0"/>
            <w:vAlign w:val="center"/>
          </w:tcPr>
          <w:p w14:paraId="0898E3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noWrap w:val="0"/>
            <w:vAlign w:val="center"/>
          </w:tcPr>
          <w:p w14:paraId="3C9B8A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3C9E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restart"/>
            <w:noWrap w:val="0"/>
            <w:vAlign w:val="center"/>
          </w:tcPr>
          <w:p w14:paraId="21A41A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r>
              <w:rPr>
                <w:rFonts w:hint="eastAsia"/>
                <w:sz w:val="21"/>
                <w:szCs w:val="21"/>
                <w:lang w:eastAsia="zh-CN"/>
              </w:rPr>
              <w:t>本底稳定性</w:t>
            </w:r>
          </w:p>
        </w:tc>
        <w:tc>
          <w:tcPr>
            <w:tcW w:w="1952" w:type="pct"/>
            <w:gridSpan w:val="5"/>
            <w:noWrap w:val="0"/>
            <w:vAlign w:val="center"/>
          </w:tcPr>
          <w:p w14:paraId="4D80ED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本底测量值</w:t>
            </w:r>
            <w:r>
              <w:rPr>
                <w:rFonts w:hint="eastAsia" w:ascii="宋体" w:hAnsi="宋体" w:eastAsia="宋体" w:cs="宋体"/>
                <w:sz w:val="21"/>
                <w:szCs w:val="21"/>
                <w:lang w:val="en-US" w:eastAsia="zh-CN"/>
              </w:rPr>
              <w:t>/</w:t>
            </w:r>
            <w:r>
              <w:rPr>
                <w:rFonts w:hint="eastAsia"/>
                <w:kern w:val="0"/>
                <w:sz w:val="21"/>
                <w:szCs w:val="21"/>
                <w:lang w:val="en-US" w:eastAsia="zh-CN"/>
              </w:rPr>
              <w:t>s</w:t>
            </w:r>
            <w:r>
              <w:rPr>
                <w:rFonts w:hint="eastAsia"/>
                <w:kern w:val="0"/>
                <w:sz w:val="21"/>
                <w:szCs w:val="21"/>
                <w:vertAlign w:val="superscript"/>
                <w:lang w:val="en-US" w:eastAsia="zh-CN"/>
              </w:rPr>
              <w:t>-1</w:t>
            </w:r>
          </w:p>
        </w:tc>
        <w:tc>
          <w:tcPr>
            <w:tcW w:w="976" w:type="pct"/>
            <w:gridSpan w:val="2"/>
            <w:noWrap w:val="0"/>
            <w:vAlign w:val="center"/>
          </w:tcPr>
          <w:p w14:paraId="505C86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稳定性</w:t>
            </w:r>
          </w:p>
        </w:tc>
        <w:tc>
          <w:tcPr>
            <w:tcW w:w="976" w:type="pct"/>
            <w:noWrap w:val="0"/>
            <w:vAlign w:val="center"/>
          </w:tcPr>
          <w:p w14:paraId="19822C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技术要求</w:t>
            </w:r>
          </w:p>
        </w:tc>
      </w:tr>
      <w:tr w14:paraId="630C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continue"/>
            <w:noWrap w:val="0"/>
            <w:vAlign w:val="center"/>
          </w:tcPr>
          <w:p w14:paraId="681F85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p>
        </w:tc>
        <w:tc>
          <w:tcPr>
            <w:tcW w:w="1952" w:type="pct"/>
            <w:gridSpan w:val="5"/>
            <w:noWrap w:val="0"/>
            <w:vAlign w:val="center"/>
          </w:tcPr>
          <w:p w14:paraId="237971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2"/>
            <w:noWrap w:val="0"/>
            <w:vAlign w:val="center"/>
          </w:tcPr>
          <w:p w14:paraId="1AFB25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noWrap w:val="0"/>
            <w:vAlign w:val="center"/>
          </w:tcPr>
          <w:p w14:paraId="1D3790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73EC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restart"/>
            <w:noWrap w:val="0"/>
            <w:vAlign w:val="center"/>
          </w:tcPr>
          <w:p w14:paraId="1E8C1C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r>
              <w:rPr>
                <w:rFonts w:hint="eastAsia"/>
                <w:sz w:val="21"/>
                <w:szCs w:val="21"/>
                <w:lang w:eastAsia="zh-CN"/>
              </w:rPr>
              <w:t>能量分辨力</w:t>
            </w:r>
          </w:p>
          <w:p w14:paraId="2795FA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w:t>
            </w:r>
            <w:r>
              <w:rPr>
                <w:rFonts w:hint="eastAsia"/>
                <w:sz w:val="21"/>
                <w:szCs w:val="21"/>
                <w:vertAlign w:val="superscript"/>
                <w:lang w:val="en-US" w:eastAsia="zh-CN"/>
              </w:rPr>
              <w:t>137</w:t>
            </w:r>
            <w:r>
              <w:rPr>
                <w:rFonts w:hint="eastAsia"/>
                <w:sz w:val="21"/>
                <w:szCs w:val="21"/>
                <w:lang w:val="en-US" w:eastAsia="zh-CN"/>
              </w:rPr>
              <w:t>Cs</w:t>
            </w:r>
            <w:r>
              <w:rPr>
                <w:rFonts w:hint="eastAsia"/>
                <w:sz w:val="21"/>
                <w:szCs w:val="21"/>
                <w:lang w:eastAsia="zh-CN"/>
              </w:rPr>
              <w:t>）</w:t>
            </w:r>
          </w:p>
        </w:tc>
        <w:tc>
          <w:tcPr>
            <w:tcW w:w="976" w:type="pct"/>
            <w:gridSpan w:val="2"/>
            <w:noWrap w:val="0"/>
            <w:vAlign w:val="center"/>
          </w:tcPr>
          <w:p w14:paraId="6B4594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sz w:val="21"/>
                <w:szCs w:val="21"/>
                <w:lang w:val="en-US" w:eastAsia="zh-CN"/>
              </w:rPr>
            </w:pPr>
            <w:r>
              <w:rPr>
                <w:rFonts w:hint="eastAsia"/>
                <w:sz w:val="21"/>
                <w:szCs w:val="21"/>
                <w:lang w:eastAsia="zh-CN"/>
              </w:rPr>
              <w:t>半高全宽</w:t>
            </w:r>
            <w:r>
              <w:rPr>
                <w:rFonts w:hint="eastAsia"/>
                <w:sz w:val="21"/>
                <w:szCs w:val="21"/>
                <w:lang w:val="en-US" w:eastAsia="zh-CN"/>
              </w:rPr>
              <w:t>FWHM</w:t>
            </w:r>
          </w:p>
        </w:tc>
        <w:tc>
          <w:tcPr>
            <w:tcW w:w="976" w:type="pct"/>
            <w:gridSpan w:val="3"/>
            <w:noWrap w:val="0"/>
            <w:vAlign w:val="center"/>
          </w:tcPr>
          <w:p w14:paraId="6C5B5E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sz w:val="21"/>
                <w:szCs w:val="21"/>
                <w:lang w:val="en-US" w:eastAsia="zh-CN"/>
              </w:rPr>
            </w:pPr>
            <w:r>
              <w:rPr>
                <w:rFonts w:hint="eastAsia"/>
                <w:sz w:val="21"/>
                <w:szCs w:val="21"/>
                <w:lang w:eastAsia="zh-CN"/>
              </w:rPr>
              <w:t>峰位</w:t>
            </w:r>
            <w:r>
              <w:rPr>
                <w:rFonts w:hint="eastAsia"/>
                <w:i/>
                <w:iCs/>
                <w:sz w:val="21"/>
                <w:szCs w:val="21"/>
                <w:lang w:val="en-US" w:eastAsia="zh-CN"/>
              </w:rPr>
              <w:t>D</w:t>
            </w:r>
          </w:p>
        </w:tc>
        <w:tc>
          <w:tcPr>
            <w:tcW w:w="976" w:type="pct"/>
            <w:gridSpan w:val="2"/>
            <w:noWrap w:val="0"/>
            <w:vAlign w:val="center"/>
          </w:tcPr>
          <w:p w14:paraId="5A774D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1"/>
                <w:szCs w:val="21"/>
                <w:lang w:val="en-US" w:eastAsia="zh-CN"/>
              </w:rPr>
            </w:pPr>
            <w:r>
              <w:rPr>
                <w:rFonts w:hint="eastAsia"/>
                <w:sz w:val="21"/>
                <w:szCs w:val="21"/>
                <w:lang w:eastAsia="zh-CN"/>
              </w:rPr>
              <w:t>能量分辨力</w:t>
            </w:r>
            <w:r>
              <w:rPr>
                <w:rFonts w:hint="eastAsia"/>
                <w:i/>
                <w:iCs/>
                <w:sz w:val="21"/>
                <w:szCs w:val="21"/>
                <w:lang w:val="en-US" w:eastAsia="zh-CN"/>
              </w:rPr>
              <w:t>R</w:t>
            </w:r>
          </w:p>
        </w:tc>
        <w:tc>
          <w:tcPr>
            <w:tcW w:w="976" w:type="pct"/>
            <w:noWrap w:val="0"/>
            <w:vAlign w:val="center"/>
          </w:tcPr>
          <w:p w14:paraId="1B2CAA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技术要求</w:t>
            </w:r>
          </w:p>
        </w:tc>
      </w:tr>
      <w:tr w14:paraId="7C17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continue"/>
            <w:noWrap w:val="0"/>
            <w:vAlign w:val="center"/>
          </w:tcPr>
          <w:p w14:paraId="449892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p>
        </w:tc>
        <w:tc>
          <w:tcPr>
            <w:tcW w:w="976" w:type="pct"/>
            <w:gridSpan w:val="2"/>
            <w:noWrap w:val="0"/>
            <w:vAlign w:val="center"/>
          </w:tcPr>
          <w:p w14:paraId="07805A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3"/>
            <w:noWrap w:val="0"/>
            <w:vAlign w:val="center"/>
          </w:tcPr>
          <w:p w14:paraId="16A81C8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2"/>
            <w:noWrap w:val="0"/>
            <w:vAlign w:val="center"/>
          </w:tcPr>
          <w:p w14:paraId="5FE72A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noWrap w:val="0"/>
            <w:vAlign w:val="center"/>
          </w:tcPr>
          <w:p w14:paraId="744699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2BF3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094" w:type="pct"/>
            <w:gridSpan w:val="2"/>
            <w:vMerge w:val="restart"/>
            <w:noWrap w:val="0"/>
            <w:vAlign w:val="center"/>
          </w:tcPr>
          <w:p w14:paraId="51BB65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lang w:val="en-US" w:eastAsia="zh-CN"/>
              </w:rPr>
            </w:pPr>
            <w:r>
              <w:rPr>
                <w:rFonts w:hint="eastAsia"/>
                <w:sz w:val="21"/>
                <w:szCs w:val="21"/>
              </w:rPr>
              <w:t>□</w:t>
            </w:r>
            <w:r>
              <w:rPr>
                <w:rFonts w:hint="eastAsia"/>
                <w:sz w:val="21"/>
                <w:szCs w:val="21"/>
                <w:lang w:eastAsia="zh-CN"/>
              </w:rPr>
              <w:t>活度响应</w:t>
            </w:r>
          </w:p>
          <w:p w14:paraId="2E179D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rPr>
              <w:t>□</w:t>
            </w:r>
            <w:r>
              <w:rPr>
                <w:rFonts w:hint="eastAsia"/>
                <w:sz w:val="21"/>
                <w:szCs w:val="21"/>
                <w:lang w:eastAsia="zh-CN"/>
              </w:rPr>
              <w:t>示值误差</w:t>
            </w:r>
          </w:p>
        </w:tc>
        <w:tc>
          <w:tcPr>
            <w:tcW w:w="976" w:type="pct"/>
            <w:gridSpan w:val="2"/>
            <w:noWrap w:val="0"/>
            <w:vAlign w:val="center"/>
          </w:tcPr>
          <w:p w14:paraId="4DCABB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sz w:val="21"/>
                <w:szCs w:val="21"/>
                <w:lang w:val="en-US" w:eastAsia="zh-CN"/>
              </w:rPr>
            </w:pPr>
            <w:r>
              <w:rPr>
                <w:rFonts w:hint="eastAsia"/>
                <w:sz w:val="21"/>
                <w:szCs w:val="21"/>
                <w:lang w:eastAsia="zh-CN"/>
              </w:rPr>
              <w:t>活度标准值</w:t>
            </w:r>
          </w:p>
        </w:tc>
        <w:tc>
          <w:tcPr>
            <w:tcW w:w="976" w:type="pct"/>
            <w:gridSpan w:val="3"/>
            <w:noWrap w:val="0"/>
            <w:vAlign w:val="center"/>
          </w:tcPr>
          <w:p w14:paraId="3B4D89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eastAsia="zh-CN"/>
              </w:rPr>
            </w:pPr>
            <w:r>
              <w:rPr>
                <w:rFonts w:hint="eastAsia"/>
                <w:sz w:val="21"/>
                <w:szCs w:val="21"/>
              </w:rPr>
              <w:t>□</w:t>
            </w:r>
            <w:r>
              <w:rPr>
                <w:rFonts w:hint="eastAsia"/>
                <w:sz w:val="21"/>
                <w:szCs w:val="21"/>
                <w:lang w:eastAsia="zh-CN"/>
              </w:rPr>
              <w:t>计数率</w:t>
            </w:r>
          </w:p>
          <w:p w14:paraId="7E6D78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r>
              <w:rPr>
                <w:rFonts w:hint="eastAsia"/>
                <w:sz w:val="21"/>
                <w:szCs w:val="21"/>
              </w:rPr>
              <w:t>□</w:t>
            </w:r>
            <w:r>
              <w:rPr>
                <w:rFonts w:hint="eastAsia"/>
                <w:sz w:val="21"/>
                <w:szCs w:val="21"/>
                <w:lang w:eastAsia="zh-CN"/>
              </w:rPr>
              <w:t>活度测量值</w:t>
            </w:r>
          </w:p>
        </w:tc>
        <w:tc>
          <w:tcPr>
            <w:tcW w:w="976" w:type="pct"/>
            <w:gridSpan w:val="2"/>
            <w:noWrap w:val="0"/>
            <w:vAlign w:val="center"/>
          </w:tcPr>
          <w:p w14:paraId="6B7A3B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sz w:val="21"/>
                <w:szCs w:val="21"/>
                <w:lang w:val="en-US" w:eastAsia="zh-CN"/>
              </w:rPr>
            </w:pPr>
            <w:r>
              <w:rPr>
                <w:rFonts w:hint="eastAsia"/>
                <w:sz w:val="21"/>
                <w:szCs w:val="21"/>
                <w:lang w:eastAsia="zh-CN"/>
              </w:rPr>
              <w:t>测量均值</w:t>
            </w:r>
          </w:p>
        </w:tc>
        <w:tc>
          <w:tcPr>
            <w:tcW w:w="976" w:type="pct"/>
            <w:noWrap w:val="0"/>
            <w:vAlign w:val="center"/>
          </w:tcPr>
          <w:p w14:paraId="03A0A9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lang w:val="en-US" w:eastAsia="zh-CN"/>
              </w:rPr>
            </w:pPr>
            <w:r>
              <w:rPr>
                <w:rFonts w:hint="eastAsia"/>
                <w:sz w:val="21"/>
                <w:szCs w:val="21"/>
              </w:rPr>
              <w:t>□</w:t>
            </w:r>
            <w:r>
              <w:rPr>
                <w:rFonts w:hint="eastAsia"/>
                <w:sz w:val="21"/>
                <w:szCs w:val="21"/>
                <w:lang w:eastAsia="zh-CN"/>
              </w:rPr>
              <w:t>活度响应</w:t>
            </w:r>
          </w:p>
          <w:p w14:paraId="3BCD67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lang w:eastAsia="zh-CN"/>
              </w:rPr>
            </w:pPr>
            <w:r>
              <w:rPr>
                <w:rFonts w:hint="eastAsia"/>
                <w:sz w:val="21"/>
                <w:szCs w:val="21"/>
              </w:rPr>
              <w:t>□</w:t>
            </w:r>
            <w:r>
              <w:rPr>
                <w:rFonts w:hint="eastAsia"/>
                <w:sz w:val="21"/>
                <w:szCs w:val="21"/>
                <w:lang w:eastAsia="zh-CN"/>
              </w:rPr>
              <w:t>示值误差</w:t>
            </w:r>
          </w:p>
        </w:tc>
      </w:tr>
      <w:tr w14:paraId="4F07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continue"/>
            <w:noWrap w:val="0"/>
            <w:vAlign w:val="center"/>
          </w:tcPr>
          <w:p w14:paraId="39F03C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p>
        </w:tc>
        <w:tc>
          <w:tcPr>
            <w:tcW w:w="976" w:type="pct"/>
            <w:gridSpan w:val="2"/>
            <w:noWrap w:val="0"/>
            <w:vAlign w:val="center"/>
          </w:tcPr>
          <w:p w14:paraId="5893B4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3"/>
            <w:noWrap w:val="0"/>
            <w:vAlign w:val="center"/>
          </w:tcPr>
          <w:p w14:paraId="2048E9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2"/>
            <w:noWrap w:val="0"/>
            <w:vAlign w:val="center"/>
          </w:tcPr>
          <w:p w14:paraId="40DBAD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noWrap w:val="0"/>
            <w:vAlign w:val="center"/>
          </w:tcPr>
          <w:p w14:paraId="5FB826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r w14:paraId="321A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1094" w:type="pct"/>
            <w:gridSpan w:val="2"/>
            <w:vMerge w:val="continue"/>
            <w:noWrap w:val="0"/>
            <w:vAlign w:val="center"/>
          </w:tcPr>
          <w:p w14:paraId="222E9B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sz w:val="21"/>
                <w:szCs w:val="21"/>
                <w:lang w:eastAsia="zh-CN"/>
              </w:rPr>
            </w:pPr>
            <w:bookmarkStart w:id="88" w:name="_Toc6719"/>
          </w:p>
        </w:tc>
        <w:tc>
          <w:tcPr>
            <w:tcW w:w="976" w:type="pct"/>
            <w:gridSpan w:val="2"/>
            <w:noWrap w:val="0"/>
            <w:vAlign w:val="center"/>
          </w:tcPr>
          <w:p w14:paraId="37A462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不确定度</w:t>
            </w:r>
          </w:p>
        </w:tc>
        <w:tc>
          <w:tcPr>
            <w:tcW w:w="976" w:type="pct"/>
            <w:gridSpan w:val="3"/>
            <w:noWrap w:val="0"/>
            <w:vAlign w:val="center"/>
          </w:tcPr>
          <w:p w14:paraId="24CD78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c>
          <w:tcPr>
            <w:tcW w:w="976" w:type="pct"/>
            <w:gridSpan w:val="2"/>
            <w:noWrap w:val="0"/>
            <w:vAlign w:val="center"/>
          </w:tcPr>
          <w:p w14:paraId="529AB2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r>
              <w:rPr>
                <w:rFonts w:hint="eastAsia"/>
                <w:sz w:val="21"/>
                <w:szCs w:val="21"/>
                <w:lang w:eastAsia="zh-CN"/>
              </w:rPr>
              <w:t>技术要求</w:t>
            </w:r>
          </w:p>
        </w:tc>
        <w:tc>
          <w:tcPr>
            <w:tcW w:w="976" w:type="pct"/>
            <w:noWrap w:val="0"/>
            <w:vAlign w:val="center"/>
          </w:tcPr>
          <w:p w14:paraId="358905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1"/>
                <w:szCs w:val="21"/>
              </w:rPr>
            </w:pPr>
          </w:p>
        </w:tc>
      </w:tr>
    </w:tbl>
    <w:p w14:paraId="6319FE19">
      <w:pPr>
        <w:pStyle w:val="3"/>
        <w:keepNext w:val="0"/>
        <w:keepLines w:val="0"/>
        <w:pageBreakBefore w:val="0"/>
        <w:widowControl w:val="0"/>
        <w:tabs>
          <w:tab w:val="left" w:pos="1430"/>
          <w:tab w:val="center" w:pos="4680"/>
        </w:tabs>
        <w:kinsoku/>
        <w:wordWrap/>
        <w:overflowPunct/>
        <w:topLinePunct w:val="0"/>
        <w:autoSpaceDE/>
        <w:autoSpaceDN/>
        <w:bidi w:val="0"/>
        <w:adjustRightInd/>
        <w:snapToGrid/>
        <w:spacing w:before="148" w:beforeLines="50" w:line="240" w:lineRule="auto"/>
        <w:ind w:firstLine="0" w:firstLineChars="0"/>
        <w:jc w:val="left"/>
        <w:textAlignment w:val="auto"/>
        <w:outlineLvl w:val="0"/>
        <w:rPr>
          <w:rFonts w:hint="eastAsia" w:ascii="Times New Roman" w:hAnsi="Times New Roman" w:eastAsia="黑体"/>
          <w:sz w:val="28"/>
          <w:szCs w:val="22"/>
          <w:lang w:eastAsia="zh-CN"/>
        </w:rPr>
      </w:pPr>
      <w:bookmarkStart w:id="89" w:name="_Toc26753"/>
      <w:r>
        <w:rPr>
          <w:rFonts w:hint="eastAsia" w:ascii="Times New Roman" w:hAnsi="Times New Roman" w:eastAsia="黑体"/>
          <w:sz w:val="28"/>
          <w:szCs w:val="22"/>
        </w:rPr>
        <w:t>附录</w:t>
      </w:r>
      <w:bookmarkEnd w:id="88"/>
      <w:r>
        <w:rPr>
          <w:rFonts w:hint="eastAsia" w:ascii="Times New Roman" w:hAnsi="Times New Roman" w:eastAsia="黑体"/>
          <w:sz w:val="28"/>
          <w:szCs w:val="22"/>
          <w:lang w:val="en-US" w:eastAsia="zh-CN"/>
        </w:rPr>
        <w:t>C</w:t>
      </w:r>
      <w:bookmarkEnd w:id="89"/>
    </w:p>
    <w:p w14:paraId="7CB62371">
      <w:pPr>
        <w:pStyle w:val="18"/>
        <w:keepNext w:val="0"/>
        <w:keepLines w:val="0"/>
        <w:pageBreakBefore w:val="0"/>
        <w:widowControl w:val="0"/>
        <w:kinsoku/>
        <w:wordWrap/>
        <w:overflowPunct/>
        <w:topLinePunct w:val="0"/>
        <w:autoSpaceDE/>
        <w:autoSpaceDN/>
        <w:bidi w:val="0"/>
        <w:adjustRightInd/>
        <w:snapToGrid/>
        <w:spacing w:before="0" w:beforeLines="0" w:after="148" w:afterLines="50" w:line="240" w:lineRule="auto"/>
        <w:ind w:firstLine="0" w:firstLineChars="0"/>
        <w:jc w:val="center"/>
        <w:textAlignment w:val="auto"/>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pPr>
      <w:bookmarkStart w:id="90" w:name="_Toc221"/>
      <w:bookmarkStart w:id="91" w:name="_Toc6963"/>
      <w:bookmarkStart w:id="92" w:name="_Toc4487"/>
      <w:bookmarkStart w:id="93" w:name="_Toc20145"/>
      <w:bookmarkStart w:id="94" w:name="_Toc13330"/>
      <w:r>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t>甲状腺碘测量仪校准证</w:t>
      </w:r>
      <w:bookmarkEnd w:id="90"/>
      <w:r>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t>书内页（推荐）格式</w:t>
      </w:r>
      <w:bookmarkEnd w:id="91"/>
      <w:bookmarkEnd w:id="92"/>
      <w:bookmarkEnd w:id="93"/>
      <w:bookmarkEnd w:id="94"/>
    </w:p>
    <w:p w14:paraId="157A38BB">
      <w:pPr>
        <w:widowControl/>
        <w:numPr>
          <w:ilvl w:val="0"/>
          <w:numId w:val="0"/>
        </w:numPr>
        <w:spacing w:line="360" w:lineRule="auto"/>
        <w:jc w:val="left"/>
        <w:rPr>
          <w:kern w:val="0"/>
          <w:highlight w:val="none"/>
        </w:rPr>
      </w:pPr>
      <w:r>
        <w:rPr>
          <w:rFonts w:hint="eastAsia"/>
          <w:kern w:val="0"/>
          <w:szCs w:val="21"/>
          <w:highlight w:val="none"/>
          <w:lang w:val="en-US" w:eastAsia="zh-CN"/>
        </w:rPr>
        <w:t>1、</w:t>
      </w:r>
      <w:r>
        <w:rPr>
          <w:kern w:val="0"/>
          <w:szCs w:val="21"/>
          <w:highlight w:val="none"/>
        </w:rPr>
        <w:t>外观</w:t>
      </w:r>
      <w:r>
        <w:rPr>
          <w:rFonts w:hint="eastAsia"/>
          <w:kern w:val="0"/>
          <w:szCs w:val="21"/>
          <w:highlight w:val="none"/>
        </w:rPr>
        <w:t>及功能性检查</w:t>
      </w:r>
      <w:r>
        <w:rPr>
          <w:kern w:val="0"/>
          <w:highlight w:val="none"/>
        </w:rPr>
        <w:t>：</w:t>
      </w:r>
      <w:r>
        <w:rPr>
          <w:rFonts w:hint="eastAsia" w:ascii="宋体" w:hAnsi="宋体" w:cs="宋体"/>
          <w:kern w:val="0"/>
          <w:highlight w:val="none"/>
        </w:rPr>
        <w:t>□</w:t>
      </w:r>
      <w:r>
        <w:rPr>
          <w:kern w:val="0"/>
          <w:highlight w:val="none"/>
        </w:rPr>
        <w:t xml:space="preserve">符合要求  </w:t>
      </w:r>
      <w:r>
        <w:rPr>
          <w:rFonts w:hint="eastAsia" w:ascii="宋体" w:hAnsi="宋体" w:cs="宋体"/>
          <w:kern w:val="0"/>
          <w:highlight w:val="none"/>
        </w:rPr>
        <w:sym w:font="Wingdings 2" w:char="00A3"/>
      </w:r>
      <w:r>
        <w:rPr>
          <w:kern w:val="0"/>
          <w:highlight w:val="none"/>
        </w:rPr>
        <w:t>不符合要求</w:t>
      </w:r>
    </w:p>
    <w:p w14:paraId="4644FE5B">
      <w:pPr>
        <w:widowControl/>
        <w:numPr>
          <w:ilvl w:val="0"/>
          <w:numId w:val="0"/>
        </w:numPr>
        <w:spacing w:line="360" w:lineRule="auto"/>
        <w:jc w:val="left"/>
        <w:rPr>
          <w:rFonts w:hint="eastAsia"/>
          <w:kern w:val="0"/>
          <w:highlight w:val="none"/>
        </w:rPr>
      </w:pPr>
      <w:r>
        <w:rPr>
          <w:rFonts w:hint="eastAsia"/>
          <w:kern w:val="0"/>
          <w:highlight w:val="none"/>
          <w:lang w:val="en-US" w:eastAsia="zh-CN"/>
        </w:rPr>
        <w:t>2、</w:t>
      </w:r>
      <w:r>
        <w:rPr>
          <w:rFonts w:hint="eastAsia"/>
          <w:kern w:val="0"/>
          <w:highlight w:val="none"/>
          <w:lang w:eastAsia="zh-CN"/>
        </w:rPr>
        <w:t>其他项目</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340"/>
        <w:gridCol w:w="1569"/>
        <w:gridCol w:w="1569"/>
        <w:gridCol w:w="1580"/>
        <w:gridCol w:w="1374"/>
      </w:tblGrid>
      <w:tr w14:paraId="5F01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noWrap w:val="0"/>
            <w:vAlign w:val="center"/>
          </w:tcPr>
          <w:p w14:paraId="1ADA658D">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校准项目</w:t>
            </w:r>
          </w:p>
        </w:tc>
        <w:tc>
          <w:tcPr>
            <w:tcW w:w="749" w:type="pct"/>
            <w:noWrap w:val="0"/>
            <w:vAlign w:val="center"/>
          </w:tcPr>
          <w:p w14:paraId="760AF607">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技术要求</w:t>
            </w:r>
          </w:p>
        </w:tc>
        <w:tc>
          <w:tcPr>
            <w:tcW w:w="2637" w:type="pct"/>
            <w:gridSpan w:val="3"/>
            <w:noWrap w:val="0"/>
            <w:vAlign w:val="center"/>
          </w:tcPr>
          <w:p w14:paraId="152C43B6">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校准结果</w:t>
            </w:r>
          </w:p>
        </w:tc>
        <w:tc>
          <w:tcPr>
            <w:tcW w:w="766" w:type="pct"/>
            <w:noWrap w:val="0"/>
            <w:vAlign w:val="center"/>
          </w:tcPr>
          <w:p w14:paraId="4176F6B7">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单项判定</w:t>
            </w:r>
          </w:p>
        </w:tc>
      </w:tr>
      <w:tr w14:paraId="5759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noWrap w:val="0"/>
            <w:vAlign w:val="center"/>
          </w:tcPr>
          <w:p w14:paraId="7FD164D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r>
              <w:rPr>
                <w:rFonts w:hint="default" w:ascii="Times New Roman" w:hAnsi="Times New Roman" w:cs="Times New Roman"/>
                <w:sz w:val="21"/>
                <w:szCs w:val="21"/>
                <w:lang w:val="en-US" w:eastAsia="zh-CN"/>
              </w:rPr>
              <w:t>本底</w:t>
            </w:r>
            <w:r>
              <w:rPr>
                <w:rFonts w:hint="eastAsia" w:ascii="Times New Roman" w:hAnsi="Times New Roman" w:cs="Times New Roman"/>
                <w:sz w:val="21"/>
                <w:szCs w:val="21"/>
                <w:lang w:val="en-US" w:eastAsia="zh-CN"/>
              </w:rPr>
              <w:t>计数率</w:t>
            </w:r>
          </w:p>
        </w:tc>
        <w:tc>
          <w:tcPr>
            <w:tcW w:w="749" w:type="pct"/>
            <w:noWrap w:val="0"/>
            <w:vAlign w:val="center"/>
          </w:tcPr>
          <w:p w14:paraId="5CF8DB45">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2637" w:type="pct"/>
            <w:gridSpan w:val="3"/>
            <w:noWrap w:val="0"/>
            <w:vAlign w:val="center"/>
          </w:tcPr>
          <w:p w14:paraId="1E9FF33E">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766" w:type="pct"/>
            <w:noWrap w:val="0"/>
            <w:vAlign w:val="center"/>
          </w:tcPr>
          <w:p w14:paraId="12412804">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1"/>
                <w:szCs w:val="21"/>
                <w:vertAlign w:val="baseline"/>
                <w:lang w:val="en-US" w:eastAsia="zh-CN"/>
              </w:rPr>
            </w:pPr>
          </w:p>
        </w:tc>
      </w:tr>
      <w:tr w14:paraId="7BBB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noWrap w:val="0"/>
            <w:vAlign w:val="center"/>
          </w:tcPr>
          <w:p w14:paraId="5E3BBA8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val="en-US" w:eastAsia="zh-CN"/>
              </w:rPr>
            </w:pPr>
            <w:r>
              <w:rPr>
                <w:rFonts w:hint="eastAsia" w:cs="Times New Roman"/>
                <w:sz w:val="21"/>
                <w:szCs w:val="21"/>
                <w:lang w:val="en-US" w:eastAsia="zh-CN"/>
              </w:rPr>
              <w:t>本底稳定性</w:t>
            </w:r>
          </w:p>
        </w:tc>
        <w:tc>
          <w:tcPr>
            <w:tcW w:w="749" w:type="pct"/>
            <w:noWrap w:val="0"/>
            <w:vAlign w:val="center"/>
          </w:tcPr>
          <w:p w14:paraId="31D868A1">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2637" w:type="pct"/>
            <w:gridSpan w:val="3"/>
            <w:noWrap w:val="0"/>
            <w:vAlign w:val="center"/>
          </w:tcPr>
          <w:p w14:paraId="446A9C50">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766" w:type="pct"/>
            <w:noWrap w:val="0"/>
            <w:vAlign w:val="center"/>
          </w:tcPr>
          <w:p w14:paraId="5D9333E2">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1"/>
                <w:szCs w:val="21"/>
                <w:vertAlign w:val="baseline"/>
                <w:lang w:val="en-US" w:eastAsia="zh-CN"/>
              </w:rPr>
            </w:pPr>
          </w:p>
        </w:tc>
      </w:tr>
      <w:tr w14:paraId="6D33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noWrap w:val="0"/>
            <w:vAlign w:val="center"/>
          </w:tcPr>
          <w:p w14:paraId="2308D19D">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r>
              <w:rPr>
                <w:rFonts w:hint="eastAsia" w:ascii="Times New Roman" w:hAnsi="Times New Roman" w:cs="Times New Roman"/>
                <w:sz w:val="21"/>
                <w:szCs w:val="21"/>
                <w:lang w:val="en-US" w:eastAsia="zh-CN"/>
              </w:rPr>
              <w:t>能量分辨力</w:t>
            </w:r>
          </w:p>
        </w:tc>
        <w:tc>
          <w:tcPr>
            <w:tcW w:w="749" w:type="pct"/>
            <w:noWrap w:val="0"/>
            <w:vAlign w:val="center"/>
          </w:tcPr>
          <w:p w14:paraId="627DB9DB">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2637" w:type="pct"/>
            <w:gridSpan w:val="3"/>
            <w:noWrap w:val="0"/>
            <w:vAlign w:val="center"/>
          </w:tcPr>
          <w:p w14:paraId="66D83B38">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766" w:type="pct"/>
            <w:noWrap w:val="0"/>
            <w:vAlign w:val="center"/>
          </w:tcPr>
          <w:p w14:paraId="74E641FD">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1"/>
                <w:szCs w:val="21"/>
                <w:vertAlign w:val="baseline"/>
                <w:lang w:val="en-US" w:eastAsia="zh-CN"/>
              </w:rPr>
            </w:pPr>
          </w:p>
        </w:tc>
      </w:tr>
      <w:tr w14:paraId="136C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vMerge w:val="restart"/>
            <w:noWrap w:val="0"/>
            <w:vAlign w:val="center"/>
          </w:tcPr>
          <w:p w14:paraId="5E4255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lang w:val="en-US" w:eastAsia="zh-CN"/>
              </w:rPr>
            </w:pPr>
            <w:r>
              <w:rPr>
                <w:rFonts w:hint="eastAsia"/>
                <w:sz w:val="21"/>
                <w:szCs w:val="21"/>
              </w:rPr>
              <w:t>□</w:t>
            </w:r>
            <w:r>
              <w:rPr>
                <w:rFonts w:hint="eastAsia"/>
                <w:sz w:val="21"/>
                <w:szCs w:val="21"/>
                <w:lang w:eastAsia="zh-CN"/>
              </w:rPr>
              <w:t>活度响应</w:t>
            </w:r>
          </w:p>
          <w:p w14:paraId="5D66602E">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r>
              <w:rPr>
                <w:rFonts w:hint="eastAsia"/>
                <w:sz w:val="21"/>
                <w:szCs w:val="21"/>
              </w:rPr>
              <w:t>□</w:t>
            </w:r>
            <w:r>
              <w:rPr>
                <w:rFonts w:hint="eastAsia"/>
                <w:sz w:val="21"/>
                <w:szCs w:val="21"/>
                <w:lang w:eastAsia="zh-CN"/>
              </w:rPr>
              <w:t>示值误差</w:t>
            </w:r>
          </w:p>
        </w:tc>
        <w:tc>
          <w:tcPr>
            <w:tcW w:w="749" w:type="pct"/>
            <w:vMerge w:val="restart"/>
            <w:noWrap w:val="0"/>
            <w:vAlign w:val="center"/>
          </w:tcPr>
          <w:p w14:paraId="26F595F9">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877" w:type="pct"/>
            <w:noWrap w:val="0"/>
            <w:vAlign w:val="center"/>
          </w:tcPr>
          <w:p w14:paraId="706BAC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sz w:val="21"/>
                <w:szCs w:val="21"/>
                <w:vertAlign w:val="baseline"/>
                <w:lang w:val="en-US" w:eastAsia="zh-CN"/>
              </w:rPr>
            </w:pPr>
            <w:r>
              <w:rPr>
                <w:rFonts w:hint="eastAsia"/>
                <w:sz w:val="21"/>
                <w:szCs w:val="21"/>
                <w:vertAlign w:val="baseline"/>
                <w:lang w:val="en-US" w:eastAsia="zh-CN"/>
              </w:rPr>
              <w:t>标准</w:t>
            </w:r>
            <w:r>
              <w:rPr>
                <w:rFonts w:hint="eastAsia" w:eastAsia="宋体"/>
                <w:sz w:val="21"/>
                <w:szCs w:val="21"/>
                <w:vertAlign w:val="baseline"/>
                <w:lang w:val="en-US" w:eastAsia="zh-CN"/>
              </w:rPr>
              <w:t>源核素</w:t>
            </w:r>
          </w:p>
        </w:tc>
        <w:tc>
          <w:tcPr>
            <w:tcW w:w="877" w:type="pct"/>
            <w:noWrap w:val="0"/>
            <w:vAlign w:val="center"/>
          </w:tcPr>
          <w:p w14:paraId="517B1F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sz w:val="21"/>
                <w:szCs w:val="21"/>
                <w:vertAlign w:val="baseline"/>
                <w:lang w:val="en-US" w:eastAsia="zh-CN"/>
              </w:rPr>
            </w:pPr>
            <w:r>
              <w:rPr>
                <w:rFonts w:hint="eastAsia" w:eastAsia="宋体"/>
                <w:sz w:val="21"/>
                <w:szCs w:val="21"/>
                <w:vertAlign w:val="baseline"/>
                <w:lang w:val="en-US" w:eastAsia="zh-CN"/>
              </w:rPr>
              <w:t>标准值</w:t>
            </w:r>
          </w:p>
        </w:tc>
        <w:tc>
          <w:tcPr>
            <w:tcW w:w="882" w:type="pct"/>
            <w:noWrap w:val="0"/>
            <w:vAlign w:val="center"/>
          </w:tcPr>
          <w:p w14:paraId="564CA7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lang w:val="en-US" w:eastAsia="zh-CN"/>
              </w:rPr>
            </w:pPr>
            <w:r>
              <w:rPr>
                <w:rFonts w:hint="eastAsia"/>
                <w:sz w:val="21"/>
                <w:szCs w:val="21"/>
              </w:rPr>
              <w:t>□</w:t>
            </w:r>
            <w:r>
              <w:rPr>
                <w:rFonts w:hint="eastAsia"/>
                <w:sz w:val="21"/>
                <w:szCs w:val="21"/>
                <w:lang w:eastAsia="zh-CN"/>
              </w:rPr>
              <w:t>活度响应</w:t>
            </w:r>
          </w:p>
          <w:p w14:paraId="148B07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sz w:val="21"/>
                <w:szCs w:val="21"/>
                <w:vertAlign w:val="baseline"/>
                <w:lang w:val="en-US" w:eastAsia="zh-CN"/>
              </w:rPr>
            </w:pPr>
            <w:r>
              <w:rPr>
                <w:rFonts w:hint="eastAsia"/>
                <w:sz w:val="21"/>
                <w:szCs w:val="21"/>
              </w:rPr>
              <w:t>□</w:t>
            </w:r>
            <w:r>
              <w:rPr>
                <w:rFonts w:hint="eastAsia"/>
                <w:sz w:val="21"/>
                <w:szCs w:val="21"/>
                <w:lang w:eastAsia="zh-CN"/>
              </w:rPr>
              <w:t>示值误差</w:t>
            </w:r>
          </w:p>
        </w:tc>
        <w:tc>
          <w:tcPr>
            <w:tcW w:w="766" w:type="pct"/>
            <w:vMerge w:val="restart"/>
            <w:noWrap w:val="0"/>
            <w:vAlign w:val="center"/>
          </w:tcPr>
          <w:p w14:paraId="3B3B2350">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sz w:val="21"/>
                <w:szCs w:val="21"/>
                <w:vertAlign w:val="baseline"/>
                <w:lang w:val="en-US" w:eastAsia="zh-CN"/>
              </w:rPr>
            </w:pPr>
          </w:p>
        </w:tc>
      </w:tr>
      <w:tr w14:paraId="4FACE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vMerge w:val="continue"/>
            <w:noWrap w:val="0"/>
            <w:vAlign w:val="center"/>
          </w:tcPr>
          <w:p w14:paraId="59232E32">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749" w:type="pct"/>
            <w:vMerge w:val="continue"/>
            <w:noWrap w:val="0"/>
            <w:vAlign w:val="center"/>
          </w:tcPr>
          <w:p w14:paraId="7A6D2DDE">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877" w:type="pct"/>
            <w:noWrap w:val="0"/>
            <w:vAlign w:val="center"/>
          </w:tcPr>
          <w:p w14:paraId="3C648D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sz w:val="21"/>
                <w:szCs w:val="21"/>
                <w:vertAlign w:val="baseline"/>
                <w:lang w:val="en-US" w:eastAsia="zh-CN"/>
              </w:rPr>
            </w:pPr>
          </w:p>
        </w:tc>
        <w:tc>
          <w:tcPr>
            <w:tcW w:w="877" w:type="pct"/>
            <w:noWrap w:val="0"/>
            <w:vAlign w:val="center"/>
          </w:tcPr>
          <w:p w14:paraId="0390BC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1"/>
                <w:szCs w:val="21"/>
                <w:vertAlign w:val="baseline"/>
                <w:lang w:val="en-US" w:eastAsia="zh-CN"/>
              </w:rPr>
            </w:pPr>
          </w:p>
        </w:tc>
        <w:tc>
          <w:tcPr>
            <w:tcW w:w="882" w:type="pct"/>
            <w:noWrap w:val="0"/>
            <w:vAlign w:val="center"/>
          </w:tcPr>
          <w:p w14:paraId="1799A3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sz w:val="21"/>
                <w:szCs w:val="21"/>
                <w:vertAlign w:val="baseline"/>
                <w:lang w:val="en-US" w:eastAsia="zh-CN"/>
              </w:rPr>
            </w:pPr>
          </w:p>
        </w:tc>
        <w:tc>
          <w:tcPr>
            <w:tcW w:w="766" w:type="pct"/>
            <w:vMerge w:val="continue"/>
            <w:noWrap w:val="0"/>
            <w:vAlign w:val="center"/>
          </w:tcPr>
          <w:p w14:paraId="3B8C1878">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sz w:val="21"/>
                <w:szCs w:val="21"/>
                <w:vertAlign w:val="baseline"/>
                <w:lang w:val="en-US" w:eastAsia="zh-CN"/>
              </w:rPr>
            </w:pPr>
          </w:p>
        </w:tc>
      </w:tr>
      <w:tr w14:paraId="3E4FE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vMerge w:val="continue"/>
            <w:noWrap w:val="0"/>
            <w:vAlign w:val="center"/>
          </w:tcPr>
          <w:p w14:paraId="258C232A">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p>
        </w:tc>
        <w:tc>
          <w:tcPr>
            <w:tcW w:w="4153" w:type="pct"/>
            <w:gridSpan w:val="5"/>
            <w:noWrap w:val="0"/>
            <w:vAlign w:val="center"/>
          </w:tcPr>
          <w:p w14:paraId="42D8CDE1">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left"/>
              <w:textAlignment w:val="auto"/>
              <w:rPr>
                <w:rFonts w:hint="eastAsia"/>
                <w:sz w:val="21"/>
                <w:szCs w:val="21"/>
                <w:lang w:eastAsia="zh-CN"/>
              </w:rPr>
            </w:pPr>
            <w:r>
              <w:rPr>
                <w:rFonts w:hint="eastAsia"/>
                <w:sz w:val="21"/>
                <w:szCs w:val="21"/>
                <w:lang w:eastAsia="zh-CN"/>
              </w:rPr>
              <w:t>相对扩展不确定度：</w:t>
            </w:r>
          </w:p>
        </w:tc>
      </w:tr>
      <w:tr w14:paraId="7E62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pct"/>
            <w:noWrap w:val="0"/>
            <w:vAlign w:val="center"/>
          </w:tcPr>
          <w:p w14:paraId="323329AE">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vertAlign w:val="baseline"/>
              </w:rPr>
            </w:pPr>
            <w:r>
              <w:rPr>
                <w:rFonts w:hint="eastAsia" w:eastAsia="宋体"/>
                <w:kern w:val="2"/>
                <w:sz w:val="21"/>
                <w:szCs w:val="21"/>
                <w:vertAlign w:val="baseline"/>
                <w:lang w:val="en-US" w:eastAsia="zh-CN" w:bidi="ar-SA"/>
              </w:rPr>
              <w:t>总体判定</w:t>
            </w:r>
          </w:p>
        </w:tc>
        <w:tc>
          <w:tcPr>
            <w:tcW w:w="4153" w:type="pct"/>
            <w:gridSpan w:val="5"/>
            <w:noWrap w:val="0"/>
            <w:vAlign w:val="center"/>
          </w:tcPr>
          <w:p w14:paraId="37A57C5D">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Times New Roman" w:hAnsi="Times New Roman" w:cs="Times New Roman"/>
                <w:sz w:val="21"/>
                <w:szCs w:val="21"/>
                <w:vertAlign w:val="baseline"/>
                <w:lang w:val="en-US" w:eastAsia="zh-CN"/>
              </w:rPr>
            </w:pPr>
            <w:r>
              <w:rPr>
                <w:rFonts w:hint="eastAsia"/>
                <w:i w:val="0"/>
                <w:iCs w:val="0"/>
                <w:sz w:val="21"/>
                <w:szCs w:val="21"/>
                <w:lang w:val="en-US" w:eastAsia="zh-CN"/>
              </w:rPr>
              <w:t>该仪器符合JJF XXX-20XX《甲状腺碘测量仪校准规范》</w:t>
            </w:r>
            <w:r>
              <w:rPr>
                <w:rFonts w:hint="eastAsia" w:ascii="Times New Roman" w:hAnsi="Times New Roman" w:cs="Times New Roman"/>
                <w:sz w:val="21"/>
                <w:szCs w:val="21"/>
                <w:lang w:val="en-US" w:eastAsia="zh-CN"/>
              </w:rPr>
              <w:t>的要求</w:t>
            </w:r>
          </w:p>
        </w:tc>
      </w:tr>
    </w:tbl>
    <w:p w14:paraId="2F3A28A2">
      <w:pPr>
        <w:widowControl/>
        <w:spacing w:line="400" w:lineRule="exact"/>
        <w:ind w:firstLine="0" w:firstLineChars="0"/>
        <w:jc w:val="left"/>
        <w:rPr>
          <w:rFonts w:hint="eastAsia"/>
          <w:kern w:val="0"/>
          <w:szCs w:val="21"/>
        </w:rPr>
      </w:pPr>
    </w:p>
    <w:p w14:paraId="4B559B72">
      <w:pPr>
        <w:widowControl/>
        <w:spacing w:line="400" w:lineRule="exact"/>
        <w:ind w:firstLine="0" w:firstLineChars="0"/>
        <w:jc w:val="left"/>
        <w:rPr>
          <w:rFonts w:hint="eastAsia"/>
          <w:kern w:val="0"/>
          <w:szCs w:val="21"/>
        </w:rPr>
      </w:pPr>
    </w:p>
    <w:p w14:paraId="47EE32C6">
      <w:pPr>
        <w:widowControl/>
        <w:spacing w:line="400" w:lineRule="exact"/>
        <w:ind w:firstLine="0" w:firstLineChars="0"/>
        <w:jc w:val="left"/>
        <w:rPr>
          <w:rFonts w:hint="eastAsia"/>
          <w:kern w:val="0"/>
          <w:szCs w:val="21"/>
        </w:rPr>
      </w:pPr>
    </w:p>
    <w:p w14:paraId="0468B31E">
      <w:pPr>
        <w:widowControl/>
        <w:spacing w:line="400" w:lineRule="exact"/>
        <w:ind w:firstLine="0" w:firstLineChars="0"/>
        <w:jc w:val="left"/>
        <w:rPr>
          <w:rFonts w:hint="eastAsia"/>
          <w:kern w:val="0"/>
          <w:szCs w:val="21"/>
        </w:rPr>
      </w:pPr>
    </w:p>
    <w:p w14:paraId="382D3C08">
      <w:pPr>
        <w:widowControl/>
        <w:spacing w:line="400" w:lineRule="exact"/>
        <w:ind w:firstLine="0" w:firstLineChars="0"/>
        <w:jc w:val="left"/>
        <w:rPr>
          <w:rFonts w:hint="eastAsia"/>
          <w:kern w:val="0"/>
          <w:szCs w:val="21"/>
        </w:rPr>
      </w:pPr>
    </w:p>
    <w:p w14:paraId="4F0AFEF4">
      <w:pPr>
        <w:widowControl/>
        <w:spacing w:line="400" w:lineRule="exact"/>
        <w:ind w:firstLine="0" w:firstLineChars="0"/>
        <w:jc w:val="left"/>
        <w:rPr>
          <w:rFonts w:hint="eastAsia"/>
          <w:kern w:val="0"/>
          <w:szCs w:val="21"/>
        </w:rPr>
      </w:pPr>
    </w:p>
    <w:p w14:paraId="2B29FBA0">
      <w:pPr>
        <w:widowControl/>
        <w:spacing w:line="400" w:lineRule="exact"/>
        <w:ind w:firstLine="0" w:firstLineChars="0"/>
        <w:jc w:val="left"/>
        <w:rPr>
          <w:rFonts w:hint="eastAsia"/>
          <w:kern w:val="0"/>
          <w:szCs w:val="21"/>
        </w:rPr>
      </w:pPr>
    </w:p>
    <w:p w14:paraId="7699C734">
      <w:pPr>
        <w:widowControl/>
        <w:spacing w:line="400" w:lineRule="exact"/>
        <w:ind w:firstLine="0" w:firstLineChars="0"/>
        <w:jc w:val="left"/>
        <w:rPr>
          <w:rFonts w:hint="eastAsia"/>
          <w:kern w:val="0"/>
          <w:szCs w:val="21"/>
        </w:rPr>
      </w:pPr>
    </w:p>
    <w:p w14:paraId="0FFBE126">
      <w:pPr>
        <w:widowControl/>
        <w:spacing w:line="400" w:lineRule="exact"/>
        <w:ind w:firstLine="0" w:firstLineChars="0"/>
        <w:jc w:val="left"/>
        <w:rPr>
          <w:rFonts w:hint="eastAsia"/>
          <w:kern w:val="0"/>
          <w:szCs w:val="21"/>
        </w:rPr>
      </w:pPr>
    </w:p>
    <w:p w14:paraId="0077DD1C">
      <w:pPr>
        <w:widowControl/>
        <w:spacing w:line="400" w:lineRule="exact"/>
        <w:ind w:firstLine="0" w:firstLineChars="0"/>
        <w:jc w:val="left"/>
        <w:rPr>
          <w:rFonts w:hint="eastAsia"/>
          <w:kern w:val="0"/>
          <w:szCs w:val="21"/>
        </w:rPr>
      </w:pPr>
    </w:p>
    <w:p w14:paraId="15CDA83C">
      <w:pPr>
        <w:pStyle w:val="3"/>
        <w:widowControl w:val="0"/>
        <w:tabs>
          <w:tab w:val="left" w:pos="1430"/>
          <w:tab w:val="center" w:pos="4680"/>
        </w:tabs>
        <w:spacing w:line="240" w:lineRule="auto"/>
        <w:ind w:firstLine="0" w:firstLineChars="0"/>
        <w:jc w:val="left"/>
        <w:outlineLvl w:val="0"/>
        <w:rPr>
          <w:rFonts w:hint="eastAsia" w:ascii="Times New Roman" w:hAnsi="Times New Roman" w:eastAsia="黑体"/>
          <w:sz w:val="28"/>
          <w:szCs w:val="22"/>
        </w:rPr>
      </w:pPr>
    </w:p>
    <w:p w14:paraId="327E4DA2">
      <w:pPr>
        <w:pStyle w:val="3"/>
        <w:widowControl w:val="0"/>
        <w:tabs>
          <w:tab w:val="left" w:pos="1430"/>
          <w:tab w:val="center" w:pos="4680"/>
        </w:tabs>
        <w:spacing w:line="240" w:lineRule="auto"/>
        <w:ind w:firstLine="0" w:firstLineChars="0"/>
        <w:jc w:val="left"/>
        <w:outlineLvl w:val="0"/>
        <w:rPr>
          <w:rFonts w:hint="eastAsia" w:ascii="Times New Roman" w:hAnsi="Times New Roman" w:eastAsia="黑体"/>
          <w:sz w:val="28"/>
          <w:szCs w:val="22"/>
        </w:rPr>
      </w:pPr>
    </w:p>
    <w:p w14:paraId="3161157A">
      <w:pPr>
        <w:pStyle w:val="3"/>
        <w:widowControl w:val="0"/>
        <w:tabs>
          <w:tab w:val="left" w:pos="1430"/>
          <w:tab w:val="center" w:pos="4680"/>
        </w:tabs>
        <w:spacing w:line="240" w:lineRule="auto"/>
        <w:ind w:firstLine="0" w:firstLineChars="0"/>
        <w:jc w:val="left"/>
        <w:outlineLvl w:val="0"/>
        <w:rPr>
          <w:rFonts w:hint="eastAsia" w:ascii="Times New Roman" w:hAnsi="Times New Roman" w:eastAsia="黑体"/>
          <w:sz w:val="28"/>
          <w:szCs w:val="22"/>
        </w:rPr>
      </w:pPr>
    </w:p>
    <w:p w14:paraId="5159B3EA">
      <w:pPr>
        <w:pStyle w:val="3"/>
        <w:widowControl w:val="0"/>
        <w:tabs>
          <w:tab w:val="left" w:pos="1430"/>
          <w:tab w:val="center" w:pos="4680"/>
        </w:tabs>
        <w:spacing w:line="240" w:lineRule="auto"/>
        <w:ind w:firstLine="0" w:firstLineChars="0"/>
        <w:jc w:val="left"/>
        <w:outlineLvl w:val="0"/>
        <w:rPr>
          <w:rFonts w:hint="eastAsia" w:ascii="Times New Roman" w:hAnsi="Times New Roman" w:eastAsia="黑体"/>
          <w:sz w:val="28"/>
          <w:szCs w:val="22"/>
        </w:rPr>
      </w:pPr>
    </w:p>
    <w:p w14:paraId="62810776">
      <w:pPr>
        <w:pStyle w:val="3"/>
        <w:keepNext w:val="0"/>
        <w:keepLines w:val="0"/>
        <w:pageBreakBefore w:val="0"/>
        <w:widowControl w:val="0"/>
        <w:tabs>
          <w:tab w:val="left" w:pos="1430"/>
          <w:tab w:val="center" w:pos="4680"/>
        </w:tabs>
        <w:kinsoku/>
        <w:wordWrap/>
        <w:overflowPunct/>
        <w:topLinePunct w:val="0"/>
        <w:autoSpaceDE/>
        <w:autoSpaceDN/>
        <w:bidi w:val="0"/>
        <w:adjustRightInd/>
        <w:snapToGrid/>
        <w:spacing w:before="148" w:beforeLines="50" w:line="240" w:lineRule="auto"/>
        <w:ind w:firstLine="0" w:firstLineChars="0"/>
        <w:jc w:val="left"/>
        <w:textAlignment w:val="auto"/>
        <w:outlineLvl w:val="0"/>
        <w:rPr>
          <w:rFonts w:hint="eastAsia" w:ascii="Times New Roman" w:hAnsi="Times New Roman" w:eastAsia="黑体"/>
          <w:sz w:val="28"/>
          <w:szCs w:val="22"/>
          <w:lang w:val="en-US" w:eastAsia="zh-CN"/>
        </w:rPr>
      </w:pPr>
      <w:bookmarkStart w:id="95" w:name="_Toc29446"/>
      <w:bookmarkStart w:id="96" w:name="_Toc31949"/>
      <w:r>
        <w:rPr>
          <w:rFonts w:hint="eastAsia" w:ascii="Times New Roman" w:hAnsi="Times New Roman" w:eastAsia="黑体"/>
          <w:sz w:val="28"/>
          <w:szCs w:val="22"/>
        </w:rPr>
        <w:t>附录</w:t>
      </w:r>
      <w:bookmarkEnd w:id="95"/>
      <w:r>
        <w:rPr>
          <w:rFonts w:hint="eastAsia" w:ascii="Times New Roman" w:hAnsi="Times New Roman" w:eastAsia="黑体"/>
          <w:sz w:val="28"/>
          <w:szCs w:val="22"/>
          <w:lang w:val="en-US" w:eastAsia="zh-CN"/>
        </w:rPr>
        <w:t>D</w:t>
      </w:r>
      <w:bookmarkEnd w:id="96"/>
    </w:p>
    <w:p w14:paraId="2AFAF820">
      <w:pPr>
        <w:pStyle w:val="3"/>
        <w:keepNext w:val="0"/>
        <w:keepLines w:val="0"/>
        <w:pageBreakBefore w:val="0"/>
        <w:widowControl w:val="0"/>
        <w:tabs>
          <w:tab w:val="left" w:pos="1430"/>
          <w:tab w:val="center" w:pos="4680"/>
        </w:tabs>
        <w:kinsoku/>
        <w:wordWrap/>
        <w:overflowPunct/>
        <w:topLinePunct w:val="0"/>
        <w:autoSpaceDE/>
        <w:autoSpaceDN/>
        <w:bidi w:val="0"/>
        <w:adjustRightInd/>
        <w:snapToGrid/>
        <w:spacing w:after="148" w:afterLines="50" w:line="240" w:lineRule="auto"/>
        <w:ind w:firstLine="0" w:firstLineChars="0"/>
        <w:jc w:val="center"/>
        <w:textAlignment w:val="auto"/>
        <w:outlineLvl w:val="0"/>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pPr>
      <w:bookmarkStart w:id="97" w:name="_Toc18871"/>
      <w:bookmarkStart w:id="98" w:name="_Toc3813"/>
      <w:bookmarkStart w:id="99" w:name="_Toc11643"/>
      <w:bookmarkStart w:id="100" w:name="_Toc32642"/>
      <w:r>
        <w:rPr>
          <w:rFonts w:hint="eastAsia" w:ascii="Times New Roman" w:hAnsi="Times New Roman" w:eastAsia="黑体" w:cs="Times New Roman"/>
          <w:bCs/>
          <w:color w:val="000000" w:themeColor="text1"/>
          <w:kern w:val="2"/>
          <w:sz w:val="28"/>
          <w:szCs w:val="28"/>
          <w:lang w:val="en-US" w:eastAsia="zh-CN" w:bidi="ar-SA"/>
          <w14:textFill>
            <w14:solidFill>
              <w14:schemeClr w14:val="tx1"/>
            </w14:solidFill>
          </w14:textFill>
        </w:rPr>
        <w:t>甲状腺碘测量仪活度响应测量结果不确定度评定示例</w:t>
      </w:r>
      <w:bookmarkEnd w:id="97"/>
      <w:bookmarkEnd w:id="98"/>
      <w:bookmarkEnd w:id="99"/>
      <w:bookmarkEnd w:id="100"/>
    </w:p>
    <w:p w14:paraId="5C6DD738">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rPr>
      </w:pPr>
      <w:bookmarkStart w:id="101" w:name="_Toc3409"/>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.1  概述</w:t>
      </w:r>
      <w:bookmarkEnd w:id="101"/>
    </w:p>
    <w:p w14:paraId="09489BFC">
      <w:pPr>
        <w:keepNext w:val="0"/>
        <w:keepLines w:val="0"/>
        <w:pageBreakBefore w:val="0"/>
        <w:kinsoku/>
        <w:wordWrap/>
        <w:overflowPunct/>
        <w:topLinePunct w:val="0"/>
        <w:bidi w:val="0"/>
        <w:snapToGrid/>
        <w:spacing w:line="480" w:lineRule="exact"/>
        <w:ind w:left="0" w:leftChars="0" w:firstLine="0" w:firstLineChars="0"/>
        <w:textAlignment w:val="auto"/>
        <w:rPr>
          <w:rFonts w:ascii="Times New Roman" w:hAnsi="Times New Roman" w:eastAsia="宋体" w:cs="Times New Roman"/>
          <w:b w:val="0"/>
          <w:bCs/>
          <w:color w:val="000000"/>
          <w:sz w:val="24"/>
          <w:szCs w:val="24"/>
          <w:lang w:val="en-US" w:eastAsia="zh-CN" w:bidi="en-US"/>
        </w:rPr>
      </w:pPr>
      <w:r>
        <w:rPr>
          <w:rFonts w:hint="eastAsia" w:ascii="Times New Roman" w:hAnsi="Times New Roman" w:eastAsia="宋体" w:cs="Times New Roman"/>
          <w:b w:val="0"/>
          <w:bCs/>
          <w:color w:val="000000"/>
          <w:sz w:val="24"/>
          <w:szCs w:val="24"/>
          <w:lang w:val="en-US" w:eastAsia="zh-CN" w:bidi="en-US"/>
        </w:rPr>
        <w:t>D</w:t>
      </w:r>
      <w:r>
        <w:rPr>
          <w:rFonts w:ascii="Times New Roman" w:hAnsi="Times New Roman" w:eastAsia="宋体" w:cs="Times New Roman"/>
          <w:b w:val="0"/>
          <w:bCs/>
          <w:color w:val="000000"/>
          <w:sz w:val="24"/>
          <w:szCs w:val="24"/>
          <w:lang w:val="en-US" w:eastAsia="zh-CN" w:bidi="en-US"/>
        </w:rPr>
        <w:t>.1.1</w:t>
      </w:r>
      <w:r>
        <w:rPr>
          <w:rFonts w:hint="eastAsia" w:ascii="宋体" w:hAnsi="宋体" w:eastAsia="宋体" w:cs="宋体"/>
          <w:b w:val="0"/>
          <w:bCs/>
          <w:color w:val="000000"/>
          <w:sz w:val="24"/>
          <w:szCs w:val="24"/>
          <w:lang w:val="en-US" w:eastAsia="zh-CN" w:bidi="en-US"/>
        </w:rPr>
        <w:t xml:space="preserve">  </w:t>
      </w:r>
      <w:r>
        <w:rPr>
          <w:rFonts w:ascii="Times New Roman" w:hAnsi="Times New Roman" w:eastAsia="宋体" w:cs="Times New Roman"/>
          <w:b w:val="0"/>
          <w:bCs/>
          <w:color w:val="000000"/>
          <w:sz w:val="24"/>
          <w:szCs w:val="24"/>
          <w:lang w:val="en-US" w:eastAsia="zh-CN" w:bidi="en-US"/>
        </w:rPr>
        <w:t>测量环境</w:t>
      </w:r>
    </w:p>
    <w:p w14:paraId="1948A9A6">
      <w:pPr>
        <w:keepNext w:val="0"/>
        <w:keepLines w:val="0"/>
        <w:pageBreakBefore w:val="0"/>
        <w:kinsoku/>
        <w:wordWrap/>
        <w:overflowPunct/>
        <w:topLinePunct w:val="0"/>
        <w:bidi w:val="0"/>
        <w:snapToGrid/>
        <w:spacing w:line="480" w:lineRule="exact"/>
        <w:ind w:left="0" w:leftChars="0" w:firstLine="480" w:firstLineChars="200"/>
        <w:textAlignment w:val="auto"/>
        <w:rPr>
          <w:rFonts w:hint="default" w:eastAsia="宋体"/>
          <w:sz w:val="24"/>
          <w:lang w:val="en-US" w:eastAsia="zh-CN"/>
        </w:rPr>
      </w:pPr>
      <w:r>
        <w:rPr>
          <w:rFonts w:ascii="Times New Roman" w:hAnsi="Times New Roman" w:eastAsia="宋体" w:cs="Times New Roman"/>
          <w:b w:val="0"/>
          <w:bCs/>
          <w:color w:val="000000"/>
          <w:sz w:val="24"/>
          <w:szCs w:val="24"/>
          <w:lang w:val="en-US" w:eastAsia="zh-CN" w:bidi="en-US"/>
        </w:rPr>
        <w:t>温度</w:t>
      </w:r>
      <w:r>
        <w:rPr>
          <w:rFonts w:hint="eastAsia" w:ascii="Times New Roman" w:hAnsi="Times New Roman" w:eastAsia="宋体" w:cs="Times New Roman"/>
          <w:b w:val="0"/>
          <w:bCs/>
          <w:color w:val="000000"/>
          <w:sz w:val="24"/>
          <w:szCs w:val="24"/>
          <w:lang w:val="en-US" w:eastAsia="zh-CN" w:bidi="en-US"/>
        </w:rPr>
        <w:t>为</w:t>
      </w:r>
      <w:r>
        <w:rPr>
          <w:rFonts w:ascii="Times New Roman" w:hAnsi="Times New Roman" w:eastAsia="宋体" w:cs="Times New Roman"/>
          <w:b w:val="0"/>
          <w:bCs/>
          <w:color w:val="000000"/>
          <w:sz w:val="24"/>
          <w:szCs w:val="24"/>
          <w:lang w:val="en-US" w:eastAsia="zh-CN" w:bidi="en-US"/>
        </w:rPr>
        <w:t>25</w:t>
      </w:r>
      <w:r>
        <w:rPr>
          <w:rFonts w:hint="eastAsia" w:ascii="Times New Roman" w:hAnsi="Times New Roman" w:eastAsia="宋体" w:cs="Times New Roman"/>
          <w:b w:val="0"/>
          <w:bCs/>
          <w:color w:val="000000"/>
          <w:sz w:val="24"/>
          <w:szCs w:val="24"/>
          <w:lang w:val="en-US" w:eastAsia="zh-CN" w:bidi="en-US"/>
        </w:rPr>
        <w:t xml:space="preserve"> </w:t>
      </w:r>
      <w:r>
        <w:rPr>
          <w:rFonts w:ascii="Times New Roman" w:hAnsi="Times New Roman" w:eastAsia="宋体" w:cs="Times New Roman"/>
          <w:b w:val="0"/>
          <w:bCs/>
          <w:color w:val="000000"/>
          <w:sz w:val="24"/>
          <w:szCs w:val="24"/>
          <w:lang w:val="en-US" w:eastAsia="zh-CN" w:bidi="en-US"/>
        </w:rPr>
        <w:t>℃，</w:t>
      </w:r>
      <w:r>
        <w:rPr>
          <w:rFonts w:hint="eastAsia" w:ascii="Times New Roman" w:hAnsi="Times New Roman" w:eastAsia="宋体" w:cs="Times New Roman"/>
          <w:b w:val="0"/>
          <w:bCs/>
          <w:color w:val="000000"/>
          <w:sz w:val="24"/>
          <w:szCs w:val="24"/>
          <w:lang w:val="en-US" w:eastAsia="zh-CN" w:bidi="en-US"/>
        </w:rPr>
        <w:t>相对</w:t>
      </w:r>
      <w:r>
        <w:rPr>
          <w:rFonts w:ascii="Times New Roman" w:hAnsi="Times New Roman" w:eastAsia="宋体" w:cs="Times New Roman"/>
          <w:b w:val="0"/>
          <w:bCs/>
          <w:color w:val="000000"/>
          <w:sz w:val="24"/>
          <w:szCs w:val="24"/>
          <w:lang w:val="en-US" w:eastAsia="zh-CN" w:bidi="en-US"/>
        </w:rPr>
        <w:t>湿度</w:t>
      </w:r>
      <w:r>
        <w:rPr>
          <w:rFonts w:hint="eastAsia" w:ascii="Times New Roman" w:hAnsi="Times New Roman" w:eastAsia="宋体" w:cs="Times New Roman"/>
          <w:b w:val="0"/>
          <w:bCs/>
          <w:color w:val="000000"/>
          <w:sz w:val="24"/>
          <w:szCs w:val="24"/>
          <w:lang w:val="en-US" w:eastAsia="zh-CN" w:bidi="en-US"/>
        </w:rPr>
        <w:t>为</w:t>
      </w:r>
      <w:r>
        <w:rPr>
          <w:rFonts w:ascii="Times New Roman" w:hAnsi="Times New Roman" w:eastAsia="宋体" w:cs="Times New Roman"/>
          <w:b w:val="0"/>
          <w:bCs/>
          <w:color w:val="000000"/>
          <w:sz w:val="24"/>
          <w:szCs w:val="24"/>
          <w:lang w:val="en-US" w:eastAsia="zh-CN" w:bidi="en-US"/>
        </w:rPr>
        <w:t>58%</w:t>
      </w:r>
      <w:r>
        <w:rPr>
          <w:rFonts w:hint="eastAsia" w:ascii="Times New Roman" w:hAnsi="Times New Roman" w:eastAsia="宋体" w:cs="Times New Roman"/>
          <w:b w:val="0"/>
          <w:bCs/>
          <w:color w:val="000000"/>
          <w:sz w:val="24"/>
          <w:szCs w:val="24"/>
          <w:lang w:val="en-US" w:eastAsia="zh-CN" w:bidi="en-US"/>
        </w:rPr>
        <w:t>，</w:t>
      </w:r>
      <w:r>
        <w:rPr>
          <w:rFonts w:hint="eastAsia"/>
          <w:sz w:val="24"/>
          <w:lang w:eastAsia="zh-CN"/>
        </w:rPr>
        <w:t>校准环境中</w:t>
      </w:r>
      <w:r>
        <w:rPr>
          <w:sz w:val="24"/>
        </w:rPr>
        <w:t>无明显影响校准工作的机械振动</w:t>
      </w:r>
      <w:r>
        <w:rPr>
          <w:rFonts w:hint="eastAsia"/>
          <w:sz w:val="24"/>
          <w:lang w:eastAsia="zh-CN"/>
        </w:rPr>
        <w:t>、电磁干扰和</w:t>
      </w:r>
      <w:r>
        <w:rPr>
          <w:rFonts w:hint="eastAsia"/>
          <w:sz w:val="24"/>
          <w:lang w:val="en-US" w:eastAsia="zh-CN"/>
        </w:rPr>
        <w:t>干扰测量的其它放射源。</w:t>
      </w:r>
    </w:p>
    <w:p w14:paraId="39DF6C15">
      <w:pPr>
        <w:keepNext w:val="0"/>
        <w:keepLines w:val="0"/>
        <w:pageBreakBefore w:val="0"/>
        <w:kinsoku/>
        <w:wordWrap/>
        <w:overflowPunct/>
        <w:topLinePunct w:val="0"/>
        <w:bidi w:val="0"/>
        <w:snapToGrid/>
        <w:spacing w:line="480" w:lineRule="exact"/>
        <w:ind w:left="0" w:leftChars="0" w:firstLine="0" w:firstLineChars="0"/>
        <w:textAlignment w:val="auto"/>
        <w:rPr>
          <w:rFonts w:ascii="Times New Roman" w:hAnsi="Times New Roman" w:eastAsia="宋体" w:cs="Times New Roman"/>
          <w:b w:val="0"/>
          <w:bCs/>
          <w:color w:val="000000"/>
          <w:sz w:val="24"/>
          <w:szCs w:val="24"/>
          <w:lang w:val="en-US" w:eastAsia="zh-CN" w:bidi="en-US"/>
        </w:rPr>
      </w:pPr>
      <w:r>
        <w:rPr>
          <w:rFonts w:hint="eastAsia" w:ascii="Times New Roman" w:hAnsi="Times New Roman" w:eastAsia="宋体" w:cs="Times New Roman"/>
          <w:b w:val="0"/>
          <w:bCs/>
          <w:color w:val="000000"/>
          <w:sz w:val="24"/>
          <w:szCs w:val="24"/>
          <w:lang w:val="en-US" w:eastAsia="zh-CN" w:bidi="en-US"/>
        </w:rPr>
        <w:t>D.</w:t>
      </w:r>
      <w:r>
        <w:rPr>
          <w:rFonts w:ascii="Times New Roman" w:hAnsi="Times New Roman" w:eastAsia="宋体" w:cs="Times New Roman"/>
          <w:b w:val="0"/>
          <w:bCs/>
          <w:color w:val="000000"/>
          <w:sz w:val="24"/>
          <w:szCs w:val="24"/>
          <w:lang w:val="en-US" w:eastAsia="zh-CN" w:bidi="en-US"/>
        </w:rPr>
        <w:t>1.2</w:t>
      </w:r>
      <w:r>
        <w:rPr>
          <w:rFonts w:hint="eastAsia" w:ascii="宋体" w:hAnsi="宋体" w:eastAsia="宋体" w:cs="宋体"/>
          <w:b w:val="0"/>
          <w:bCs/>
          <w:color w:val="000000"/>
          <w:sz w:val="24"/>
          <w:szCs w:val="24"/>
          <w:lang w:val="en-US" w:eastAsia="zh-CN" w:bidi="en-US"/>
        </w:rPr>
        <w:t xml:space="preserve">  </w:t>
      </w:r>
      <w:r>
        <w:rPr>
          <w:rFonts w:hint="eastAsia" w:ascii="Times New Roman" w:hAnsi="Times New Roman" w:eastAsia="宋体" w:cs="Times New Roman"/>
          <w:b w:val="0"/>
          <w:bCs/>
          <w:color w:val="000000"/>
          <w:sz w:val="24"/>
          <w:szCs w:val="24"/>
          <w:lang w:val="en-US" w:eastAsia="zh-CN" w:bidi="en-US"/>
        </w:rPr>
        <w:t>测量</w:t>
      </w:r>
      <w:r>
        <w:rPr>
          <w:rFonts w:ascii="Times New Roman" w:hAnsi="Times New Roman" w:eastAsia="宋体" w:cs="Times New Roman"/>
          <w:b w:val="0"/>
          <w:bCs/>
          <w:color w:val="000000"/>
          <w:sz w:val="24"/>
          <w:szCs w:val="24"/>
          <w:lang w:val="en-US" w:eastAsia="zh-CN" w:bidi="en-US"/>
        </w:rPr>
        <w:t>标准</w:t>
      </w:r>
    </w:p>
    <w:p w14:paraId="3BB414B4">
      <w:pPr>
        <w:keepNext w:val="0"/>
        <w:keepLines w:val="0"/>
        <w:pageBreakBefore w:val="0"/>
        <w:kinsoku/>
        <w:wordWrap/>
        <w:overflowPunct/>
        <w:topLinePunct w:val="0"/>
        <w:bidi w:val="0"/>
        <w:snapToGrid/>
        <w:spacing w:line="480" w:lineRule="exact"/>
        <w:ind w:left="0" w:leftChars="0" w:firstLine="480" w:firstLineChars="200"/>
        <w:textAlignment w:val="auto"/>
        <w:rPr>
          <w:rFonts w:ascii="Times New Roman" w:hAnsi="Times New Roman" w:eastAsia="宋体" w:cs="Times New Roman"/>
          <w:b w:val="0"/>
          <w:bCs/>
          <w:color w:val="000000"/>
          <w:sz w:val="24"/>
          <w:szCs w:val="24"/>
          <w:lang w:val="en-US" w:eastAsia="zh-CN" w:bidi="en-US"/>
        </w:rPr>
      </w:pPr>
      <w:r>
        <w:rPr>
          <w:rFonts w:hint="eastAsia"/>
          <w:sz w:val="24"/>
          <w:lang w:eastAsia="zh-CN"/>
        </w:rPr>
        <w:t>放射性</w:t>
      </w:r>
      <w:r>
        <w:rPr>
          <w:rFonts w:hint="eastAsia"/>
          <w:color w:val="auto"/>
          <w:kern w:val="0"/>
          <w:vertAlign w:val="superscript"/>
          <w:lang w:val="en-US" w:eastAsia="zh-CN"/>
        </w:rPr>
        <w:t>131</w:t>
      </w:r>
      <w:r>
        <w:rPr>
          <w:rFonts w:hint="eastAsia"/>
          <w:color w:val="auto"/>
          <w:kern w:val="0"/>
          <w:lang w:val="en-US" w:eastAsia="zh-CN"/>
        </w:rPr>
        <w:t>I</w:t>
      </w:r>
      <w:r>
        <w:rPr>
          <w:rFonts w:hint="eastAsia"/>
          <w:sz w:val="24"/>
          <w:lang w:eastAsia="zh-CN"/>
        </w:rPr>
        <w:t>标准溶液，</w:t>
      </w:r>
      <w:r>
        <w:rPr>
          <w:rFonts w:hint="eastAsia"/>
          <w:color w:val="auto"/>
          <w:kern w:val="0"/>
          <w:lang w:val="en-US" w:eastAsia="zh-CN"/>
        </w:rPr>
        <w:t xml:space="preserve">活度范围为3650 </w:t>
      </w:r>
      <w:r>
        <w:rPr>
          <w:rFonts w:ascii="Times New Roman" w:hAnsi="Times New Roman"/>
          <w:color w:val="000000" w:themeColor="text1"/>
          <w:sz w:val="24"/>
          <w:szCs w:val="24"/>
          <w14:textFill>
            <w14:solidFill>
              <w14:schemeClr w14:val="tx1"/>
            </w14:solidFill>
          </w14:textFill>
        </w:rPr>
        <w:t>Bq</w:t>
      </w:r>
      <w:r>
        <w:rPr>
          <w:rFonts w:hint="eastAsia"/>
          <w:color w:val="000000" w:themeColor="text1"/>
          <w:sz w:val="24"/>
          <w:szCs w:val="24"/>
          <w:lang w:eastAsia="zh-CN"/>
          <w14:textFill>
            <w14:solidFill>
              <w14:schemeClr w14:val="tx1"/>
            </w14:solidFill>
          </w14:textFill>
        </w:rPr>
        <w:t>，</w:t>
      </w:r>
      <w:r>
        <w:rPr>
          <w:rFonts w:hint="eastAsia"/>
          <w:lang w:val="en-US" w:eastAsia="zh-CN"/>
        </w:rPr>
        <w:t>相对扩展不确定度</w:t>
      </w:r>
      <w:r>
        <w:rPr>
          <w:rFonts w:ascii="Times New Roman" w:hAnsi="Times New Roman"/>
          <w:i/>
          <w:color w:val="000000" w:themeColor="text1"/>
          <w:sz w:val="24"/>
          <w:szCs w:val="24"/>
          <w14:textFill>
            <w14:solidFill>
              <w14:schemeClr w14:val="tx1"/>
            </w14:solidFill>
          </w14:textFill>
        </w:rPr>
        <w:t>U</w:t>
      </w:r>
      <w:r>
        <w:rPr>
          <w:rFonts w:ascii="Times New Roman" w:hAnsi="Times New Roman"/>
          <w:color w:val="000000" w:themeColor="text1"/>
          <w:sz w:val="24"/>
          <w:szCs w:val="24"/>
          <w:vertAlign w:val="subscript"/>
          <w14:textFill>
            <w14:solidFill>
              <w14:schemeClr w14:val="tx1"/>
            </w14:solidFill>
          </w14:textFill>
        </w:rPr>
        <w:t>rel</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w:t>
      </w:r>
      <w:r>
        <w:rPr>
          <w:rFonts w:ascii="Times New Roman" w:hAnsi="Times New Roman"/>
          <w:i/>
          <w:color w:val="000000" w:themeColor="text1"/>
          <w:sz w:val="24"/>
          <w:szCs w:val="24"/>
          <w14:textFill>
            <w14:solidFill>
              <w14:schemeClr w14:val="tx1"/>
            </w14:solidFill>
          </w14:textFill>
        </w:rPr>
        <w:t>k</w:t>
      </w:r>
      <w:r>
        <w:rPr>
          <w:rFonts w:ascii="Times New Roman" w:hAnsi="Times New Roman"/>
          <w:color w:val="000000" w:themeColor="text1"/>
          <w:sz w:val="24"/>
          <w:szCs w:val="24"/>
          <w14:textFill>
            <w14:solidFill>
              <w14:schemeClr w14:val="tx1"/>
            </w14:solidFill>
          </w14:textFill>
        </w:rPr>
        <w:t>=2）</w:t>
      </w:r>
      <w:r>
        <w:rPr>
          <w:rFonts w:ascii="Times New Roman" w:hAnsi="Times New Roman" w:eastAsia="宋体" w:cs="Times New Roman"/>
          <w:b w:val="0"/>
          <w:bCs/>
          <w:color w:val="000000"/>
          <w:sz w:val="24"/>
          <w:szCs w:val="24"/>
          <w:lang w:val="en-US" w:eastAsia="zh-CN" w:bidi="en-US"/>
        </w:rPr>
        <w:t>。</w:t>
      </w:r>
    </w:p>
    <w:p w14:paraId="737DE99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textAlignment w:val="auto"/>
        <w:rPr>
          <w:rFonts w:ascii="Times New Roman" w:hAnsi="Times New Roman" w:eastAsia="宋体" w:cs="Times New Roman"/>
          <w:b w:val="0"/>
          <w:bCs/>
          <w:color w:val="000000"/>
          <w:sz w:val="24"/>
          <w:szCs w:val="24"/>
          <w:lang w:val="en-US" w:eastAsia="zh-CN" w:bidi="en-US"/>
        </w:rPr>
      </w:pPr>
      <w:r>
        <w:rPr>
          <w:rFonts w:hint="eastAsia" w:ascii="Times New Roman" w:hAnsi="Times New Roman" w:eastAsia="宋体" w:cs="Times New Roman"/>
          <w:b w:val="0"/>
          <w:bCs/>
          <w:color w:val="000000"/>
          <w:sz w:val="24"/>
          <w:szCs w:val="24"/>
          <w:lang w:val="en-US" w:eastAsia="zh-CN" w:bidi="en-US"/>
        </w:rPr>
        <w:t>D.</w:t>
      </w:r>
      <w:r>
        <w:rPr>
          <w:rFonts w:ascii="Times New Roman" w:hAnsi="Times New Roman" w:eastAsia="宋体" w:cs="Times New Roman"/>
          <w:b w:val="0"/>
          <w:bCs/>
          <w:color w:val="000000"/>
          <w:sz w:val="24"/>
          <w:szCs w:val="24"/>
          <w:lang w:val="en-US" w:eastAsia="zh-CN" w:bidi="en-US"/>
        </w:rPr>
        <w:t>1.</w:t>
      </w:r>
      <w:r>
        <w:rPr>
          <w:rFonts w:hint="eastAsia" w:ascii="Times New Roman" w:hAnsi="Times New Roman" w:eastAsia="宋体" w:cs="Times New Roman"/>
          <w:b w:val="0"/>
          <w:bCs/>
          <w:color w:val="000000"/>
          <w:sz w:val="24"/>
          <w:szCs w:val="24"/>
          <w:lang w:val="en-US" w:eastAsia="zh-CN" w:bidi="en-US"/>
        </w:rPr>
        <w:t>3</w:t>
      </w:r>
      <w:r>
        <w:rPr>
          <w:rFonts w:hint="eastAsia" w:ascii="宋体" w:hAnsi="宋体" w:eastAsia="宋体" w:cs="宋体"/>
          <w:b w:val="0"/>
          <w:bCs/>
          <w:color w:val="000000"/>
          <w:sz w:val="24"/>
          <w:szCs w:val="24"/>
          <w:lang w:val="en-US" w:eastAsia="zh-CN" w:bidi="en-US"/>
        </w:rPr>
        <w:t xml:space="preserve">  </w:t>
      </w:r>
      <w:r>
        <w:rPr>
          <w:rFonts w:ascii="Times New Roman" w:hAnsi="Times New Roman" w:eastAsia="宋体" w:cs="Times New Roman"/>
          <w:b w:val="0"/>
          <w:bCs/>
          <w:color w:val="000000"/>
          <w:sz w:val="24"/>
          <w:szCs w:val="24"/>
          <w:lang w:val="en-US" w:eastAsia="zh-CN" w:bidi="en-US"/>
        </w:rPr>
        <w:t>校准方法</w:t>
      </w:r>
    </w:p>
    <w:p w14:paraId="7CA760F5">
      <w:pPr>
        <w:keepNext w:val="0"/>
        <w:keepLines w:val="0"/>
        <w:pageBreakBefore w:val="0"/>
        <w:widowControl/>
        <w:kinsoku/>
        <w:wordWrap/>
        <w:overflowPunct/>
        <w:topLinePunct w:val="0"/>
        <w:autoSpaceDE w:val="0"/>
        <w:autoSpaceDN w:val="0"/>
        <w:bidi w:val="0"/>
        <w:adjustRightInd w:val="0"/>
        <w:snapToGrid/>
        <w:spacing w:line="480" w:lineRule="exact"/>
        <w:ind w:firstLine="480" w:firstLineChars="200"/>
        <w:jc w:val="left"/>
        <w:textAlignment w:val="auto"/>
        <w:rPr>
          <w:rFonts w:hint="eastAsia"/>
          <w:kern w:val="0"/>
          <w:lang w:val="en-US" w:eastAsia="zh-CN"/>
        </w:rPr>
      </w:pPr>
      <w:r>
        <w:rPr>
          <w:rFonts w:hint="eastAsia"/>
          <w:kern w:val="0"/>
          <w:lang w:eastAsia="zh-CN"/>
        </w:rPr>
        <w:t>将上述</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标准溶液放置于颈部模体的标准源放置孔中，模体放置在可调节支架上，通过调节支架和甲状腺碘测量仪的相对位置，使放置孔位于探测器正前方合适的位置（与被检仪器效率刻度时的测量条件保持一致），设置测量时间使标准</w:t>
      </w:r>
      <w:r>
        <w:rPr>
          <w:rFonts w:hint="eastAsia"/>
          <w:kern w:val="0"/>
          <w:lang w:eastAsia="zh-CN"/>
        </w:rPr>
        <w:t>溶液中</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的</w:t>
      </w:r>
      <w:r>
        <w:rPr>
          <w:rFonts w:hint="eastAsia"/>
          <w:color w:val="auto"/>
          <w:kern w:val="0"/>
          <w:sz w:val="24"/>
          <w:szCs w:val="24"/>
          <w:vertAlign w:val="baseline"/>
          <w:lang w:val="en-US" w:eastAsia="zh-CN"/>
        </w:rPr>
        <w:t>364.489 keV</w:t>
      </w:r>
      <w:r>
        <w:rPr>
          <w:rFonts w:hint="default" w:ascii="Times New Roman" w:hAnsi="Times New Roman" w:cs="Times New Roman"/>
          <w:kern w:val="0"/>
          <w:lang w:val="en-US" w:eastAsia="zh-CN"/>
        </w:rPr>
        <w:t>γ</w:t>
      </w:r>
      <w:r>
        <w:rPr>
          <w:rFonts w:hint="eastAsia"/>
          <w:kern w:val="0"/>
          <w:lang w:val="en-US" w:eastAsia="zh-CN"/>
        </w:rPr>
        <w:t>射线全能峰计数不少于10000，重复测量3次，记录</w:t>
      </w:r>
      <w:r>
        <w:rPr>
          <w:rFonts w:hint="eastAsia"/>
          <w:color w:val="auto"/>
          <w:kern w:val="0"/>
          <w:lang w:val="en-US" w:eastAsia="zh-CN"/>
        </w:rPr>
        <w:t>全能峰计数，按公式D.1计算活度响应。</w:t>
      </w:r>
    </w:p>
    <w:p w14:paraId="64F7AC95">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lang w:eastAsia="zh-CN"/>
        </w:rPr>
      </w:pPr>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w:t>
      </w:r>
      <w:r>
        <w:rPr>
          <w:rFonts w:hint="eastAsia" w:ascii="黑体" w:hAnsi="黑体" w:eastAsia="黑体" w:cs="黑体"/>
          <w:strike w:val="0"/>
          <w:dstrike w:val="0"/>
          <w:kern w:val="0"/>
          <w:lang w:val="en-US" w:eastAsia="zh-CN"/>
        </w:rPr>
        <w:t>2</w:t>
      </w:r>
      <w:r>
        <w:rPr>
          <w:rFonts w:hint="eastAsia" w:ascii="黑体" w:hAnsi="黑体" w:eastAsia="黑体" w:cs="黑体"/>
          <w:strike w:val="0"/>
          <w:dstrike w:val="0"/>
          <w:kern w:val="0"/>
        </w:rPr>
        <w:t xml:space="preserve">  </w:t>
      </w:r>
      <w:r>
        <w:rPr>
          <w:rFonts w:hint="eastAsia" w:ascii="黑体" w:hAnsi="黑体" w:eastAsia="黑体" w:cs="黑体"/>
          <w:strike w:val="0"/>
          <w:dstrike w:val="0"/>
          <w:kern w:val="0"/>
          <w:lang w:eastAsia="zh-CN"/>
        </w:rPr>
        <w:t>测量模型</w:t>
      </w:r>
    </w:p>
    <w:p w14:paraId="192D1DD3">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right"/>
        <w:textAlignment w:val="auto"/>
        <w:rPr>
          <w:rFonts w:hint="default" w:ascii="宋体" w:hAnsi="宋体" w:eastAsia="宋体" w:cs="宋体"/>
          <w:kern w:val="0"/>
          <w:lang w:val="en-US" w:eastAsia="zh-CN"/>
        </w:rPr>
      </w:pPr>
      <w:r>
        <w:rPr>
          <w:rFonts w:ascii="宋体" w:hAnsi="宋体"/>
          <w:kern w:val="0"/>
          <w:position w:val="-30"/>
        </w:rPr>
        <w:object>
          <v:shape id="_x0000_i1059" o:spt="75" type="#_x0000_t75" style="height:37.2pt;width:50.8pt;" o:ole="t" filled="f" o:preferrelative="t" stroked="f" coordsize="21600,21600">
            <v:path/>
            <v:fill on="f" focussize="0,0"/>
            <v:stroke on="f"/>
            <v:imagedata r:id="rId93" o:title=""/>
            <o:lock v:ext="edit" aspectratio="t"/>
            <w10:wrap type="none"/>
            <w10:anchorlock/>
          </v:shape>
          <o:OLEObject Type="Embed" ProgID="Equation.3" ShapeID="_x0000_i1059" DrawAspect="Content" ObjectID="_1468075760" r:id="rId92">
            <o:LockedField>false</o:LockedField>
          </o:OLEObject>
        </w:object>
      </w:r>
      <w:r>
        <w:rPr>
          <w:rFonts w:hint="eastAsia"/>
          <w:color w:val="auto"/>
          <w:kern w:val="0"/>
          <w:lang w:val="en-US" w:eastAsia="zh-CN"/>
        </w:rPr>
        <w:t xml:space="preserve">                           （D.1）</w:t>
      </w:r>
    </w:p>
    <w:p w14:paraId="6D5B73E1">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eastAsia="宋体"/>
          <w:kern w:val="0"/>
          <w:lang w:val="en-US" w:eastAsia="zh-CN"/>
        </w:rPr>
      </w:pPr>
      <w:r>
        <w:rPr>
          <w:kern w:val="0"/>
        </w:rPr>
        <w:t>式</w:t>
      </w:r>
      <w:r>
        <w:rPr>
          <w:rFonts w:hint="eastAsia"/>
          <w:kern w:val="0"/>
        </w:rPr>
        <w:t>中</w:t>
      </w:r>
      <w:r>
        <w:rPr>
          <w:rFonts w:hint="eastAsia" w:eastAsia="宋体"/>
          <w:kern w:val="0"/>
          <w:lang w:eastAsia="zh-CN"/>
        </w:rPr>
        <w:t>：</w:t>
      </w:r>
    </w:p>
    <w:p w14:paraId="16B27E96">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kern w:val="0"/>
        </w:rPr>
      </w:pPr>
      <w:r>
        <w:rPr>
          <w:rFonts w:ascii="宋体" w:hAnsi="宋体"/>
          <w:kern w:val="0"/>
          <w:position w:val="-10"/>
        </w:rPr>
        <w:object>
          <v:shape id="_x0000_i1060" o:spt="75" type="#_x0000_t75" style="height:13.1pt;width:10.5pt;" o:ole="t" filled="f" o:preferrelative="t" stroked="f" coordsize="21600,21600">
            <v:path/>
            <v:fill on="f" focussize="0,0"/>
            <v:stroke on="f"/>
            <v:imagedata r:id="rId95" o:title=""/>
            <o:lock v:ext="edit" aspectratio="t"/>
            <w10:wrap type="none"/>
            <w10:anchorlock/>
          </v:shape>
          <o:OLEObject Type="Embed" ProgID="Equation.3" ShapeID="_x0000_i1060" DrawAspect="Content" ObjectID="_1468075761" r:id="rId94">
            <o:LockedField>false</o:LockedField>
          </o:OLEObject>
        </w:object>
      </w:r>
      <w:r>
        <w:rPr>
          <w:kern w:val="0"/>
        </w:rPr>
        <w:t>——</w:t>
      </w:r>
      <w:r>
        <w:rPr>
          <w:rFonts w:hint="eastAsia"/>
          <w:kern w:val="0"/>
          <w:lang w:eastAsia="zh-CN"/>
        </w:rPr>
        <w:t>甲状腺碘测量仪对</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核素的活度响应</w:t>
      </w:r>
      <w:r>
        <w:rPr>
          <w:rFonts w:hint="eastAsia"/>
          <w:kern w:val="0"/>
        </w:rPr>
        <w:t>，</w:t>
      </w:r>
      <w:r>
        <w:rPr>
          <w:rFonts w:ascii="宋体" w:hAnsi="宋体"/>
          <w:kern w:val="0"/>
          <w:position w:val="-10"/>
        </w:rPr>
        <w:object>
          <v:shape id="_x0000_i1061" o:spt="75" type="#_x0000_t75" style="height:18.15pt;width:43.95pt;" o:ole="t" filled="f" o:preferrelative="t" stroked="f" coordsize="21600,21600">
            <v:path/>
            <v:fill on="f" focussize="0,0"/>
            <v:stroke on="f"/>
            <v:imagedata r:id="rId51" o:title=""/>
            <o:lock v:ext="edit" aspectratio="t"/>
            <w10:wrap type="none"/>
            <w10:anchorlock/>
          </v:shape>
          <o:OLEObject Type="Embed" ProgID="Equation.3" ShapeID="_x0000_i1061" DrawAspect="Content" ObjectID="_1468075762" r:id="rId96">
            <o:LockedField>false</o:LockedField>
          </o:OLEObject>
        </w:object>
      </w:r>
      <w:r>
        <w:rPr>
          <w:kern w:val="0"/>
        </w:rPr>
        <w:t>；</w:t>
      </w:r>
    </w:p>
    <w:p w14:paraId="3AF9424A">
      <w:pPr>
        <w:keepNext w:val="0"/>
        <w:keepLines w:val="0"/>
        <w:pageBreakBefore w:val="0"/>
        <w:widowControl/>
        <w:kinsoku/>
        <w:wordWrap/>
        <w:overflowPunct/>
        <w:topLinePunct w:val="0"/>
        <w:autoSpaceDE/>
        <w:autoSpaceDN/>
        <w:bidi w:val="0"/>
        <w:adjustRightInd/>
        <w:snapToGrid/>
        <w:spacing w:line="480" w:lineRule="exact"/>
        <w:jc w:val="left"/>
        <w:textAlignment w:val="auto"/>
        <w:rPr>
          <w:kern w:val="0"/>
        </w:rPr>
      </w:pPr>
      <w:r>
        <w:rPr>
          <w:rFonts w:ascii="宋体" w:hAnsi="宋体"/>
          <w:kern w:val="0"/>
          <w:position w:val="-6"/>
        </w:rPr>
        <w:object>
          <v:shape id="_x0000_i1062" o:spt="75" type="#_x0000_t75" style="height:17.2pt;width:10.5pt;" o:ole="t" filled="f" o:preferrelative="t" stroked="f" coordsize="21600,21600">
            <v:path/>
            <v:fill on="f" focussize="0,0"/>
            <v:stroke on="f"/>
            <v:imagedata r:id="rId98" o:title=""/>
            <o:lock v:ext="edit" aspectratio="t"/>
            <w10:wrap type="none"/>
            <w10:anchorlock/>
          </v:shape>
          <o:OLEObject Type="Embed" ProgID="Equation.3" ShapeID="_x0000_i1062" DrawAspect="Content" ObjectID="_1468075763" r:id="rId97">
            <o:LockedField>false</o:LockedField>
          </o:OLEObject>
        </w:object>
      </w:r>
      <w:r>
        <w:rPr>
          <w:kern w:val="0"/>
        </w:rPr>
        <w:t>——</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w:t>
      </w:r>
      <w:r>
        <w:rPr>
          <w:rFonts w:hint="eastAsia"/>
          <w:color w:val="auto"/>
          <w:kern w:val="0"/>
          <w:sz w:val="24"/>
          <w:szCs w:val="24"/>
          <w:vertAlign w:val="baseline"/>
          <w:lang w:val="en-US" w:eastAsia="zh-CN"/>
        </w:rPr>
        <w:t>364.489 keV</w:t>
      </w:r>
      <w:r>
        <w:rPr>
          <w:rFonts w:hint="default" w:ascii="Times New Roman" w:hAnsi="Times New Roman" w:cs="Times New Roman"/>
          <w:kern w:val="0"/>
          <w:lang w:val="en-US" w:eastAsia="zh-CN"/>
        </w:rPr>
        <w:t>γ</w:t>
      </w:r>
      <w:r>
        <w:rPr>
          <w:rFonts w:hint="eastAsia"/>
          <w:kern w:val="0"/>
          <w:lang w:val="en-US" w:eastAsia="zh-CN"/>
        </w:rPr>
        <w:t>射线全能峰计数率3次测量值的算术平均值</w:t>
      </w:r>
      <w:r>
        <w:rPr>
          <w:rFonts w:hint="eastAsia"/>
          <w:kern w:val="0"/>
        </w:rPr>
        <w:t>，</w:t>
      </w:r>
      <w:r>
        <w:rPr>
          <w:rFonts w:ascii="宋体" w:hAnsi="宋体"/>
          <w:kern w:val="0"/>
          <w:position w:val="-6"/>
        </w:rPr>
        <w:object>
          <v:shape id="_x0000_i1063"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63" DrawAspect="Content" ObjectID="_1468075764" r:id="rId99">
            <o:LockedField>false</o:LockedField>
          </o:OLEObject>
        </w:object>
      </w:r>
      <w:r>
        <w:rPr>
          <w:kern w:val="0"/>
        </w:rPr>
        <w:t>；</w:t>
      </w:r>
    </w:p>
    <w:p w14:paraId="5440990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rPr>
      </w:pPr>
      <w:r>
        <w:rPr>
          <w:rFonts w:ascii="宋体" w:hAnsi="宋体"/>
          <w:kern w:val="0"/>
          <w:position w:val="-12"/>
        </w:rPr>
        <w:object>
          <v:shape id="_x0000_i1064" o:spt="75" type="#_x0000_t75" style="height:18.1pt;width:13.65pt;" o:ole="t" filled="f" o:preferrelative="t" stroked="f" coordsize="21600,21600">
            <v:path/>
            <v:fill on="f" focussize="0,0"/>
            <v:stroke on="f"/>
            <v:imagedata r:id="rId101" o:title=""/>
            <o:lock v:ext="edit" aspectratio="t"/>
            <w10:wrap type="none"/>
            <w10:anchorlock/>
          </v:shape>
          <o:OLEObject Type="Embed" ProgID="Equation.3" ShapeID="_x0000_i1064" DrawAspect="Content" ObjectID="_1468075765" r:id="rId100">
            <o:LockedField>false</o:LockedField>
          </o:OLEObject>
        </w:object>
      </w:r>
      <w:r>
        <w:rPr>
          <w:kern w:val="0"/>
        </w:rPr>
        <w:t>——</w:t>
      </w:r>
      <w:r>
        <w:rPr>
          <w:rFonts w:hint="eastAsia"/>
          <w:kern w:val="0"/>
          <w:lang w:eastAsia="zh-CN"/>
        </w:rPr>
        <w:t>本底谱中</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w:t>
      </w:r>
      <w:r>
        <w:rPr>
          <w:rFonts w:hint="eastAsia"/>
          <w:color w:val="auto"/>
          <w:kern w:val="0"/>
          <w:sz w:val="24"/>
          <w:szCs w:val="24"/>
          <w:vertAlign w:val="baseline"/>
          <w:lang w:val="en-US" w:eastAsia="zh-CN"/>
        </w:rPr>
        <w:t>364.489 keV</w:t>
      </w:r>
      <w:r>
        <w:rPr>
          <w:rFonts w:hint="default" w:ascii="Times New Roman" w:hAnsi="Times New Roman" w:cs="Times New Roman"/>
          <w:kern w:val="0"/>
          <w:lang w:val="en-US" w:eastAsia="zh-CN"/>
        </w:rPr>
        <w:t>γ</w:t>
      </w:r>
      <w:r>
        <w:rPr>
          <w:rFonts w:hint="eastAsia"/>
          <w:kern w:val="0"/>
          <w:lang w:val="en-US" w:eastAsia="zh-CN"/>
        </w:rPr>
        <w:t>射线全能峰区域的计数率</w:t>
      </w:r>
      <w:r>
        <w:rPr>
          <w:rFonts w:hint="eastAsia"/>
          <w:kern w:val="0"/>
        </w:rPr>
        <w:t>，</w:t>
      </w:r>
      <w:r>
        <w:rPr>
          <w:rFonts w:ascii="宋体" w:hAnsi="宋体"/>
          <w:kern w:val="0"/>
          <w:position w:val="-6"/>
        </w:rPr>
        <w:object>
          <v:shape id="_x0000_i1065" o:spt="75" type="#_x0000_t75" style="height:16.15pt;width:15.7pt;" o:ole="t" filled="f" o:preferrelative="t" stroked="f" coordsize="21600,21600">
            <v:path/>
            <v:fill on="f" focussize="0,0"/>
            <v:stroke on="f"/>
            <v:imagedata r:id="rId55" o:title=""/>
            <o:lock v:ext="edit" aspectratio="t"/>
            <w10:wrap type="none"/>
            <w10:anchorlock/>
          </v:shape>
          <o:OLEObject Type="Embed" ProgID="Equation.3" ShapeID="_x0000_i1065" DrawAspect="Content" ObjectID="_1468075766" r:id="rId102">
            <o:LockedField>false</o:LockedField>
          </o:OLEObject>
        </w:object>
      </w:r>
      <w:r>
        <w:rPr>
          <w:kern w:val="0"/>
        </w:rPr>
        <w:t>；</w:t>
      </w:r>
    </w:p>
    <w:p w14:paraId="6C76BC8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kern w:val="0"/>
          <w:lang w:eastAsia="zh-CN"/>
        </w:rPr>
      </w:pPr>
      <w:r>
        <w:rPr>
          <w:rFonts w:ascii="宋体" w:hAnsi="宋体"/>
          <w:kern w:val="0"/>
          <w:position w:val="-12"/>
        </w:rPr>
        <w:object>
          <v:shape id="_x0000_i1066" o:spt="75" type="#_x0000_t75" style="height:18.1pt;width:15pt;" o:ole="t" filled="f" o:preferrelative="t" stroked="f" coordsize="21600,21600">
            <v:path/>
            <v:fill on="f" focussize="0,0"/>
            <v:stroke on="f"/>
            <v:imagedata r:id="rId104" o:title=""/>
            <o:lock v:ext="edit" aspectratio="t"/>
            <w10:wrap type="none"/>
            <w10:anchorlock/>
          </v:shape>
          <o:OLEObject Type="Embed" ProgID="Equation.3" ShapeID="_x0000_i1066" DrawAspect="Content" ObjectID="_1468075767" r:id="rId103">
            <o:LockedField>false</o:LockedField>
          </o:OLEObject>
        </w:object>
      </w:r>
      <w:r>
        <w:rPr>
          <w:kern w:val="0"/>
        </w:rPr>
        <w:t>——</w:t>
      </w:r>
      <w:r>
        <w:rPr>
          <w:rFonts w:hint="eastAsia"/>
          <w:kern w:val="0"/>
          <w:lang w:val="en-US" w:eastAsia="zh-CN"/>
        </w:rPr>
        <w:t>标准</w:t>
      </w:r>
      <w:r>
        <w:rPr>
          <w:rFonts w:hint="eastAsia"/>
          <w:kern w:val="0"/>
          <w:lang w:eastAsia="zh-CN"/>
        </w:rPr>
        <w:t>溶液中</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核素的活度值</w:t>
      </w:r>
      <w:r>
        <w:rPr>
          <w:rFonts w:hint="eastAsia"/>
          <w:kern w:val="0"/>
          <w:lang w:eastAsia="zh-CN"/>
        </w:rPr>
        <w:t>（修正到测量时间），</w:t>
      </w:r>
      <w:r>
        <w:rPr>
          <w:rFonts w:hint="eastAsia"/>
          <w:kern w:val="0"/>
          <w:lang w:val="en-US" w:eastAsia="zh-CN"/>
        </w:rPr>
        <w:t>Bq</w:t>
      </w:r>
      <w:r>
        <w:rPr>
          <w:rFonts w:hint="eastAsia"/>
          <w:kern w:val="0"/>
          <w:lang w:eastAsia="zh-CN"/>
        </w:rPr>
        <w:t>。</w:t>
      </w:r>
    </w:p>
    <w:p w14:paraId="4AF92831">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lang w:eastAsia="zh-CN"/>
        </w:rPr>
      </w:pPr>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w:t>
      </w:r>
      <w:r>
        <w:rPr>
          <w:rFonts w:hint="eastAsia" w:ascii="黑体" w:hAnsi="黑体" w:eastAsia="黑体" w:cs="黑体"/>
          <w:strike w:val="0"/>
          <w:dstrike w:val="0"/>
          <w:kern w:val="0"/>
          <w:lang w:val="en-US" w:eastAsia="zh-CN"/>
        </w:rPr>
        <w:t>3</w:t>
      </w:r>
      <w:r>
        <w:rPr>
          <w:rFonts w:hint="eastAsia" w:ascii="黑体" w:hAnsi="黑体" w:eastAsia="黑体" w:cs="黑体"/>
          <w:strike w:val="0"/>
          <w:dstrike w:val="0"/>
          <w:kern w:val="0"/>
        </w:rPr>
        <w:t xml:space="preserve">  </w:t>
      </w:r>
      <w:r>
        <w:rPr>
          <w:rFonts w:hint="eastAsia" w:ascii="黑体" w:hAnsi="黑体" w:eastAsia="黑体" w:cs="黑体"/>
          <w:strike w:val="0"/>
          <w:dstrike w:val="0"/>
          <w:kern w:val="0"/>
          <w:lang w:eastAsia="zh-CN"/>
        </w:rPr>
        <w:t>合成标准不确定度计算公式</w:t>
      </w:r>
    </w:p>
    <w:p w14:paraId="17094DFF">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480" w:lineRule="exact"/>
        <w:ind w:firstLine="480" w:firstLineChars="200"/>
        <w:jc w:val="both"/>
        <w:textAlignment w:val="auto"/>
        <w:rPr>
          <w:rFonts w:hint="eastAsia" w:ascii="Times New Roman" w:hAnsi="Times New Roman" w:eastAsia="宋体" w:cs="Times New Roman"/>
          <w:lang w:eastAsia="zh-CN"/>
        </w:rPr>
      </w:pPr>
      <w:r>
        <w:rPr>
          <w:rFonts w:hint="eastAsia" w:ascii="Times New Roman" w:hAnsi="Times New Roman" w:cs="Times New Roman"/>
          <w:color w:val="000000"/>
          <w:lang w:eastAsia="zh-CN"/>
        </w:rPr>
        <w:t>测量模型中，</w:t>
      </w:r>
      <w:r>
        <w:rPr>
          <w:rFonts w:ascii="宋体" w:hAnsi="宋体"/>
          <w:kern w:val="0"/>
          <w:position w:val="-6"/>
        </w:rPr>
        <w:object>
          <v:shape id="_x0000_i1067" o:spt="75" type="#_x0000_t75" style="height:17.2pt;width:10.5pt;" o:ole="t" filled="f" o:preferrelative="t" stroked="f" coordsize="21600,21600">
            <v:path/>
            <v:fill on="f" focussize="0,0"/>
            <v:stroke on="f"/>
            <v:imagedata r:id="rId98" o:title=""/>
            <o:lock v:ext="edit" aspectratio="t"/>
            <w10:wrap type="none"/>
            <w10:anchorlock/>
          </v:shape>
          <o:OLEObject Type="Embed" ProgID="Equation.3" ShapeID="_x0000_i1067" DrawAspect="Content" ObjectID="_1468075768" r:id="rId105">
            <o:LockedField>false</o:LockedField>
          </o:OLEObject>
        </w:object>
      </w:r>
      <w:r>
        <w:rPr>
          <w:rFonts w:hint="eastAsia" w:ascii="Times New Roman" w:hAnsi="Times New Roman" w:cs="Times New Roman"/>
          <w:color w:val="000000"/>
          <w:spacing w:val="6"/>
          <w:lang w:eastAsia="zh-CN"/>
        </w:rPr>
        <w:t>、</w:t>
      </w:r>
      <w:r>
        <w:rPr>
          <w:rFonts w:ascii="宋体" w:hAnsi="宋体"/>
          <w:kern w:val="0"/>
          <w:position w:val="-12"/>
        </w:rPr>
        <w:object>
          <v:shape id="_x0000_i1068" o:spt="75" type="#_x0000_t75" style="height:18.1pt;width:13.65pt;" o:ole="t" filled="f" o:preferrelative="t" stroked="f" coordsize="21600,21600">
            <v:path/>
            <v:fill on="f" focussize="0,0"/>
            <v:stroke on="f"/>
            <v:imagedata r:id="rId101" o:title=""/>
            <o:lock v:ext="edit" aspectratio="t"/>
            <w10:wrap type="none"/>
            <w10:anchorlock/>
          </v:shape>
          <o:OLEObject Type="Embed" ProgID="Equation.3" ShapeID="_x0000_i1068" DrawAspect="Content" ObjectID="_1468075769" r:id="rId106">
            <o:LockedField>false</o:LockedField>
          </o:OLEObject>
        </w:object>
      </w:r>
      <w:r>
        <w:rPr>
          <w:rFonts w:hint="eastAsia" w:ascii="Times New Roman" w:hAnsi="Times New Roman" w:cs="Times New Roman"/>
          <w:color w:val="000000"/>
          <w:lang w:eastAsia="zh-CN"/>
        </w:rPr>
        <w:t>和</w:t>
      </w:r>
      <w:r>
        <w:rPr>
          <w:rFonts w:ascii="宋体" w:hAnsi="宋体"/>
          <w:kern w:val="0"/>
          <w:position w:val="-12"/>
        </w:rPr>
        <w:object>
          <v:shape id="_x0000_i1069" o:spt="75" type="#_x0000_t75" style="height:18.1pt;width:15pt;" o:ole="t" filled="f" o:preferrelative="t" stroked="f" coordsize="21600,21600">
            <v:path/>
            <v:fill on="f" focussize="0,0"/>
            <v:stroke on="f"/>
            <v:imagedata r:id="rId104" o:title=""/>
            <o:lock v:ext="edit" aspectratio="t"/>
            <w10:wrap type="none"/>
            <w10:anchorlock/>
          </v:shape>
          <o:OLEObject Type="Embed" ProgID="Equation.3" ShapeID="_x0000_i1069" DrawAspect="Content" ObjectID="_1468075770" r:id="rId107">
            <o:LockedField>false</o:LockedField>
          </o:OLEObject>
        </w:object>
      </w:r>
      <w:r>
        <w:rPr>
          <w:rFonts w:hint="eastAsia" w:ascii="Times New Roman" w:hAnsi="Times New Roman" w:cs="Times New Roman"/>
          <w:color w:val="000000"/>
          <w:lang w:eastAsia="zh-CN"/>
        </w:rPr>
        <w:t>互不相关</w:t>
      </w:r>
      <w:r>
        <w:rPr>
          <w:rFonts w:hint="eastAsia" w:cs="Times New Roman"/>
          <w:color w:val="000000"/>
          <w:lang w:eastAsia="zh-CN"/>
        </w:rPr>
        <w:t>，</w:t>
      </w:r>
      <w:r>
        <w:rPr>
          <w:rFonts w:ascii="Times New Roman" w:hAnsi="Times New Roman" w:cs="Times New Roman"/>
          <w:color w:val="000000"/>
        </w:rPr>
        <w:t>依据不确定度传播</w:t>
      </w:r>
      <w:r>
        <w:rPr>
          <w:rFonts w:hint="eastAsia" w:ascii="Times New Roman" w:hAnsi="Times New Roman" w:cs="Times New Roman"/>
          <w:color w:val="000000"/>
        </w:rPr>
        <w:t>律</w:t>
      </w:r>
      <w:r>
        <w:rPr>
          <w:rFonts w:ascii="Times New Roman" w:hAnsi="Times New Roman" w:cs="Times New Roman"/>
          <w:color w:val="000000"/>
        </w:rPr>
        <w:t>，</w:t>
      </w:r>
      <w:r>
        <w:rPr>
          <w:rFonts w:ascii="Times New Roman" w:hAnsi="Times New Roman" w:cs="Times New Roman"/>
          <w:color w:val="000000"/>
          <w:spacing w:val="6"/>
        </w:rPr>
        <w:t>当</w:t>
      </w:r>
      <w:r>
        <w:rPr>
          <w:rFonts w:hint="eastAsia" w:ascii="Times New Roman" w:hAnsi="Times New Roman" w:cs="Times New Roman"/>
          <w:color w:val="000000"/>
          <w:spacing w:val="6"/>
        </w:rPr>
        <w:t>各不确定度</w:t>
      </w:r>
      <w:r>
        <w:rPr>
          <w:rFonts w:hint="eastAsia" w:ascii="Times New Roman" w:hAnsi="Times New Roman" w:cs="Times New Roman"/>
          <w:color w:val="000000"/>
          <w:spacing w:val="6"/>
          <w:lang w:eastAsia="zh-CN"/>
        </w:rPr>
        <w:t>分量</w:t>
      </w:r>
      <w:r>
        <w:rPr>
          <w:rFonts w:hint="eastAsia" w:ascii="Times New Roman" w:hAnsi="Times New Roman" w:cs="Times New Roman"/>
          <w:color w:val="000000"/>
          <w:spacing w:val="6"/>
        </w:rPr>
        <w:t>间不相关</w:t>
      </w:r>
      <w:r>
        <w:rPr>
          <w:rFonts w:ascii="Times New Roman" w:hAnsi="Times New Roman" w:cs="Times New Roman"/>
        </w:rPr>
        <w:t>时，</w:t>
      </w:r>
      <w:r>
        <w:rPr>
          <w:rFonts w:hint="eastAsia" w:ascii="Times New Roman" w:hAnsi="Times New Roman" w:cs="Times New Roman"/>
          <w:lang w:eastAsia="zh-CN"/>
        </w:rPr>
        <w:t>合成</w:t>
      </w:r>
      <w:r>
        <w:rPr>
          <w:rFonts w:hint="eastAsia" w:cs="Times New Roman"/>
          <w:lang w:eastAsia="zh-CN"/>
        </w:rPr>
        <w:t>标准</w:t>
      </w:r>
      <w:r>
        <w:rPr>
          <w:rFonts w:hint="eastAsia" w:ascii="Times New Roman" w:hAnsi="Times New Roman" w:cs="Times New Roman"/>
          <w:lang w:eastAsia="zh-CN"/>
        </w:rPr>
        <w:t>不确定度计算公式如下：</w:t>
      </w:r>
    </w:p>
    <w:p w14:paraId="35B184AC">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480" w:lineRule="exact"/>
        <w:ind w:firstLine="0" w:firstLineChars="0"/>
        <w:jc w:val="center"/>
        <w:textAlignment w:val="auto"/>
        <w:rPr>
          <w:rFonts w:ascii="Times New Roman" w:hAnsi="Times New Roman" w:cs="Times New Roman"/>
          <w:position w:val="-16"/>
        </w:rPr>
      </w:pPr>
      <w:r>
        <w:rPr>
          <w:rFonts w:ascii="Times New Roman" w:hAnsi="Times New Roman" w:cs="Times New Roman"/>
          <w:position w:val="-16"/>
        </w:rPr>
        <w:object>
          <v:shape id="_x0000_i1070" o:spt="75" type="#_x0000_t75" style="height:23.2pt;width:108pt;" o:ole="t" filled="f" o:preferrelative="t" stroked="f" coordsize="21600,21600">
            <v:path/>
            <v:fill on="f" focussize="0,0"/>
            <v:stroke on="f"/>
            <v:imagedata r:id="rId109" o:title=""/>
            <o:lock v:ext="edit" aspectratio="t"/>
            <w10:wrap type="none"/>
            <w10:anchorlock/>
          </v:shape>
          <o:OLEObject Type="Embed" ProgID="Equation.DSMT4" ShapeID="_x0000_i1070" DrawAspect="Content" ObjectID="_1468075771" r:id="rId108">
            <o:LockedField>false</o:LockedField>
          </o:OLEObject>
        </w:object>
      </w:r>
    </w:p>
    <w:p w14:paraId="4BDE90C5">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480" w:lineRule="exact"/>
        <w:ind w:firstLine="480" w:firstLineChars="200"/>
        <w:jc w:val="both"/>
        <w:textAlignment w:val="auto"/>
        <w:rPr>
          <w:rFonts w:hint="eastAsia" w:cs="Times New Roman"/>
          <w:color w:val="000000"/>
          <w:lang w:eastAsia="zh-CN"/>
        </w:rPr>
      </w:pPr>
      <w:r>
        <w:rPr>
          <w:rFonts w:hint="eastAsia" w:ascii="Times New Roman" w:hAnsi="Times New Roman" w:cs="Times New Roman"/>
          <w:color w:val="000000"/>
          <w:lang w:eastAsia="zh-CN"/>
        </w:rPr>
        <w:t>各分量灵敏度</w:t>
      </w:r>
      <w:r>
        <w:rPr>
          <w:rFonts w:hint="eastAsia" w:cs="Times New Roman"/>
          <w:color w:val="000000"/>
          <w:lang w:eastAsia="zh-CN"/>
        </w:rPr>
        <w:t>系数计算如下：</w:t>
      </w:r>
    </w:p>
    <w:p w14:paraId="28880BDB">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ind w:firstLine="0" w:firstLineChars="0"/>
        <w:jc w:val="center"/>
        <w:textAlignment w:val="auto"/>
        <w:rPr>
          <w:rFonts w:ascii="宋体" w:hAnsi="宋体"/>
          <w:kern w:val="0"/>
          <w:position w:val="-30"/>
        </w:rPr>
      </w:pPr>
      <w:r>
        <w:rPr>
          <w:rFonts w:ascii="宋体" w:hAnsi="宋体"/>
          <w:kern w:val="0"/>
          <w:position w:val="-30"/>
        </w:rPr>
        <w:object>
          <v:shape id="_x0000_i1071" o:spt="75" type="#_x0000_t75" style="height:34.2pt;width:64.3pt;" o:ole="t" filled="f" o:preferrelative="t" stroked="f" coordsize="21600,21600">
            <v:path/>
            <v:fill on="f" focussize="0,0"/>
            <v:stroke on="f"/>
            <v:imagedata r:id="rId111" o:title=""/>
            <o:lock v:ext="edit" aspectratio="t"/>
            <w10:wrap type="none"/>
            <w10:anchorlock/>
          </v:shape>
          <o:OLEObject Type="Embed" ProgID="Equation.3" ShapeID="_x0000_i1071" DrawAspect="Content" ObjectID="_1468075772" r:id="rId110">
            <o:LockedField>false</o:LockedField>
          </o:OLEObject>
        </w:object>
      </w:r>
    </w:p>
    <w:p w14:paraId="757B8398">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ind w:firstLine="0" w:firstLineChars="0"/>
        <w:jc w:val="center"/>
        <w:textAlignment w:val="auto"/>
        <w:rPr>
          <w:rFonts w:ascii="宋体" w:hAnsi="宋体"/>
          <w:kern w:val="0"/>
          <w:position w:val="-30"/>
        </w:rPr>
      </w:pPr>
      <w:r>
        <w:rPr>
          <w:rFonts w:ascii="宋体" w:hAnsi="宋体"/>
          <w:kern w:val="0"/>
          <w:position w:val="-30"/>
        </w:rPr>
        <w:object>
          <v:shape id="_x0000_i1072" o:spt="75" type="#_x0000_t75" style="height:34.2pt;width:79.95pt;" o:ole="t" filled="f" o:preferrelative="t" stroked="f" coordsize="21600,21600">
            <v:path/>
            <v:fill on="f" focussize="0,0"/>
            <v:stroke on="f"/>
            <v:imagedata r:id="rId113" o:title=""/>
            <o:lock v:ext="edit" aspectratio="t"/>
            <w10:wrap type="none"/>
            <w10:anchorlock/>
          </v:shape>
          <o:OLEObject Type="Embed" ProgID="Equation.3" ShapeID="_x0000_i1072" DrawAspect="Content" ObjectID="_1468075773" r:id="rId112">
            <o:LockedField>false</o:LockedField>
          </o:OLEObject>
        </w:object>
      </w:r>
    </w:p>
    <w:p w14:paraId="04A1DB59">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ind w:firstLine="0" w:firstLineChars="0"/>
        <w:jc w:val="center"/>
        <w:textAlignment w:val="auto"/>
        <w:rPr>
          <w:rFonts w:ascii="宋体" w:hAnsi="宋体"/>
          <w:kern w:val="0"/>
          <w:position w:val="-30"/>
        </w:rPr>
      </w:pPr>
      <w:r>
        <w:rPr>
          <w:rFonts w:ascii="宋体" w:hAnsi="宋体"/>
          <w:kern w:val="0"/>
          <w:position w:val="-30"/>
        </w:rPr>
        <w:object>
          <v:shape id="_x0000_i1073" o:spt="75" type="#_x0000_t75" style="height:37.25pt;width:96.65pt;" o:ole="t" filled="f" o:preferrelative="t" stroked="f" coordsize="21600,21600">
            <v:path/>
            <v:fill on="f" focussize="0,0"/>
            <v:stroke on="f"/>
            <v:imagedata r:id="rId115" o:title=""/>
            <o:lock v:ext="edit" aspectratio="t"/>
            <w10:wrap type="none"/>
            <w10:anchorlock/>
          </v:shape>
          <o:OLEObject Type="Embed" ProgID="Equation.3" ShapeID="_x0000_i1073" DrawAspect="Content" ObjectID="_1468075774" r:id="rId114">
            <o:LockedField>false</o:LockedField>
          </o:OLEObject>
        </w:object>
      </w:r>
    </w:p>
    <w:p w14:paraId="3F8AF305">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lang w:eastAsia="zh-CN"/>
        </w:rPr>
      </w:pPr>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w:t>
      </w:r>
      <w:r>
        <w:rPr>
          <w:rFonts w:hint="eastAsia" w:ascii="黑体" w:hAnsi="黑体" w:eastAsia="黑体" w:cs="黑体"/>
          <w:strike w:val="0"/>
          <w:dstrike w:val="0"/>
          <w:kern w:val="0"/>
          <w:lang w:val="en-US" w:eastAsia="zh-CN"/>
        </w:rPr>
        <w:t>4</w:t>
      </w:r>
      <w:r>
        <w:rPr>
          <w:rFonts w:hint="eastAsia" w:ascii="黑体" w:hAnsi="黑体" w:eastAsia="黑体" w:cs="黑体"/>
          <w:strike w:val="0"/>
          <w:dstrike w:val="0"/>
          <w:kern w:val="0"/>
        </w:rPr>
        <w:t xml:space="preserve">  </w:t>
      </w:r>
      <w:r>
        <w:rPr>
          <w:rFonts w:hint="eastAsia" w:ascii="黑体" w:hAnsi="黑体" w:eastAsia="黑体" w:cs="黑体"/>
          <w:strike w:val="0"/>
          <w:dstrike w:val="0"/>
          <w:kern w:val="0"/>
          <w:lang w:eastAsia="zh-CN"/>
        </w:rPr>
        <w:t>各输入量的标准不确定度评定</w:t>
      </w:r>
    </w:p>
    <w:p w14:paraId="1E065336">
      <w:pPr>
        <w:keepNext w:val="0"/>
        <w:keepLines w:val="0"/>
        <w:pageBreakBefore w:val="0"/>
        <w:kinsoku/>
        <w:wordWrap/>
        <w:overflowPunct/>
        <w:topLinePunct w:val="0"/>
        <w:bidi w:val="0"/>
        <w:snapToGrid/>
        <w:spacing w:line="480" w:lineRule="exact"/>
        <w:ind w:left="0" w:leftChars="0" w:firstLine="0" w:firstLineChars="0"/>
        <w:textAlignment w:val="auto"/>
        <w:rPr>
          <w:rFonts w:ascii="Times New Roman" w:hAnsi="Times New Roman" w:eastAsia="宋体" w:cs="Times New Roman"/>
          <w:b w:val="0"/>
          <w:bCs/>
          <w:color w:val="000000"/>
          <w:sz w:val="24"/>
          <w:szCs w:val="24"/>
          <w:lang w:val="en-US" w:eastAsia="zh-CN" w:bidi="en-US"/>
        </w:rPr>
      </w:pPr>
      <w:r>
        <w:rPr>
          <w:rFonts w:hint="eastAsia" w:ascii="Times New Roman" w:hAnsi="Times New Roman" w:eastAsia="宋体" w:cs="Times New Roman"/>
          <w:b w:val="0"/>
          <w:bCs/>
          <w:color w:val="000000"/>
          <w:sz w:val="24"/>
          <w:szCs w:val="24"/>
          <w:lang w:val="en-US" w:eastAsia="zh-CN" w:bidi="en-US"/>
        </w:rPr>
        <w:t>D.</w:t>
      </w:r>
      <w:r>
        <w:rPr>
          <w:rFonts w:hint="eastAsia" w:cs="Times New Roman"/>
          <w:b w:val="0"/>
          <w:bCs/>
          <w:color w:val="000000"/>
          <w:sz w:val="24"/>
          <w:szCs w:val="24"/>
          <w:lang w:val="en-US" w:eastAsia="zh-CN" w:bidi="en-US"/>
        </w:rPr>
        <w:t>4.1</w:t>
      </w:r>
      <w:r>
        <w:rPr>
          <w:rFonts w:hint="eastAsia" w:ascii="宋体" w:hAnsi="宋体" w:eastAsia="宋体" w:cs="宋体"/>
          <w:b w:val="0"/>
          <w:bCs/>
          <w:color w:val="000000"/>
          <w:sz w:val="24"/>
          <w:szCs w:val="24"/>
          <w:lang w:val="en-US" w:eastAsia="zh-CN" w:bidi="en-US"/>
        </w:rPr>
        <w:t xml:space="preserve">  </w:t>
      </w:r>
      <w:r>
        <w:rPr>
          <w:rFonts w:hint="eastAsia" w:ascii="宋体" w:hAnsi="宋体" w:cs="宋体"/>
          <w:b w:val="0"/>
          <w:bCs/>
          <w:color w:val="000000"/>
          <w:sz w:val="24"/>
          <w:szCs w:val="24"/>
          <w:lang w:val="en-US" w:eastAsia="zh-CN" w:bidi="en-US"/>
        </w:rPr>
        <w:t>输入量</w:t>
      </w:r>
      <w:r>
        <w:rPr>
          <w:rFonts w:ascii="宋体" w:hAnsi="宋体"/>
          <w:kern w:val="0"/>
          <w:position w:val="-6"/>
        </w:rPr>
        <w:object>
          <v:shape id="_x0000_i1074" o:spt="75" type="#_x0000_t75" style="height:17.2pt;width:10.5pt;" o:ole="t" filled="f" o:preferrelative="t" stroked="f" coordsize="21600,21600">
            <v:path/>
            <v:fill on="f" focussize="0,0"/>
            <v:stroke on="f"/>
            <v:imagedata r:id="rId98" o:title=""/>
            <o:lock v:ext="edit" aspectratio="t"/>
            <w10:wrap type="none"/>
            <w10:anchorlock/>
          </v:shape>
          <o:OLEObject Type="Embed" ProgID="Equation.3" ShapeID="_x0000_i1074" DrawAspect="Content" ObjectID="_1468075775" r:id="rId116">
            <o:LockedField>false</o:LockedField>
          </o:OLEObject>
        </w:object>
      </w:r>
      <w:r>
        <w:rPr>
          <w:rFonts w:hint="eastAsia" w:ascii="宋体" w:hAnsi="宋体" w:cs="宋体"/>
          <w:b w:val="0"/>
          <w:bCs/>
          <w:color w:val="000000"/>
          <w:sz w:val="24"/>
          <w:szCs w:val="24"/>
          <w:lang w:val="en-US" w:eastAsia="zh-CN" w:bidi="en-US"/>
        </w:rPr>
        <w:t>的标准不确定度</w:t>
      </w:r>
    </w:p>
    <w:p w14:paraId="2BEAFF5E">
      <w:pPr>
        <w:pStyle w:val="7"/>
        <w:keepNext w:val="0"/>
        <w:keepLines w:val="0"/>
        <w:pageBreakBefore w:val="0"/>
        <w:kinsoku/>
        <w:wordWrap/>
        <w:overflowPunct/>
        <w:topLinePunct w:val="0"/>
        <w:autoSpaceDE/>
        <w:autoSpaceDN/>
        <w:bidi w:val="0"/>
        <w:snapToGrid/>
        <w:spacing w:line="480" w:lineRule="exact"/>
        <w:ind w:firstLine="480"/>
        <w:textAlignment w:val="auto"/>
        <w:rPr>
          <w:rFonts w:eastAsiaTheme="majorEastAsia"/>
          <w:color w:val="000000" w:themeColor="text1"/>
          <w:kern w:val="0"/>
          <w:sz w:val="24"/>
          <w:lang w:val="zh-CN"/>
          <w14:textFill>
            <w14:solidFill>
              <w14:schemeClr w14:val="tx1"/>
            </w14:solidFill>
          </w14:textFill>
        </w:rPr>
      </w:pPr>
      <w:r>
        <w:rPr>
          <w:rFonts w:hint="eastAsia" w:eastAsiaTheme="majorEastAsia"/>
          <w:color w:val="000000" w:themeColor="text1"/>
          <w:sz w:val="24"/>
          <w:lang w:eastAsia="zh-CN"/>
          <w14:textFill>
            <w14:solidFill>
              <w14:schemeClr w14:val="tx1"/>
            </w14:solidFill>
          </w14:textFill>
        </w:rPr>
        <w:t>标准溶液的单次测量时间为</w:t>
      </w:r>
      <w:r>
        <w:rPr>
          <w:rFonts w:hint="eastAsia" w:eastAsiaTheme="majorEastAsia"/>
          <w:color w:val="000000" w:themeColor="text1"/>
          <w:sz w:val="24"/>
          <w:lang w:val="en-US" w:eastAsia="zh-CN"/>
          <w14:textFill>
            <w14:solidFill>
              <w14:schemeClr w14:val="tx1"/>
            </w14:solidFill>
          </w14:textFill>
        </w:rPr>
        <w:t>600 s，</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w:t>
      </w:r>
      <w:r>
        <w:rPr>
          <w:rFonts w:hint="eastAsia"/>
          <w:color w:val="auto"/>
          <w:kern w:val="0"/>
          <w:sz w:val="24"/>
          <w:szCs w:val="24"/>
          <w:vertAlign w:val="baseline"/>
          <w:lang w:val="en-US" w:eastAsia="zh-CN"/>
        </w:rPr>
        <w:t>364.489 keV</w:t>
      </w:r>
      <w:r>
        <w:rPr>
          <w:rFonts w:hint="default" w:ascii="Times New Roman" w:hAnsi="Times New Roman" w:cs="Times New Roman"/>
          <w:kern w:val="0"/>
          <w:lang w:val="en-US" w:eastAsia="zh-CN"/>
        </w:rPr>
        <w:t>γ</w:t>
      </w:r>
      <w:r>
        <w:rPr>
          <w:rFonts w:hint="eastAsia"/>
          <w:kern w:val="0"/>
          <w:lang w:val="en-US" w:eastAsia="zh-CN"/>
        </w:rPr>
        <w:t>射线全能峰计数的3次测量值分别为25626、25745、25550，算术平均值为25640。</w:t>
      </w:r>
      <w:r>
        <w:rPr>
          <w:rFonts w:hint="eastAsia" w:eastAsiaTheme="majorEastAsia"/>
          <w:color w:val="000000" w:themeColor="text1"/>
          <w:sz w:val="24"/>
          <w:lang w:eastAsia="zh-CN"/>
          <w14:textFill>
            <w14:solidFill>
              <w14:schemeClr w14:val="tx1"/>
            </w14:solidFill>
          </w14:textFill>
        </w:rPr>
        <w:t>全能峰</w:t>
      </w:r>
      <w:r>
        <w:rPr>
          <w:rFonts w:eastAsiaTheme="majorEastAsia"/>
          <w:color w:val="000000" w:themeColor="text1"/>
          <w:sz w:val="24"/>
          <w14:textFill>
            <w14:solidFill>
              <w14:schemeClr w14:val="tx1"/>
            </w14:solidFill>
          </w14:textFill>
        </w:rPr>
        <w:t>计数率</w:t>
      </w:r>
      <w:r>
        <w:rPr>
          <w:rFonts w:ascii="宋体" w:hAnsi="宋体"/>
          <w:kern w:val="0"/>
          <w:position w:val="-6"/>
        </w:rPr>
        <w:object>
          <v:shape id="_x0000_i1075" o:spt="75" type="#_x0000_t75" style="height:17.2pt;width:10.5pt;" o:ole="t" filled="f" o:preferrelative="t" stroked="f" coordsize="21600,21600">
            <v:path/>
            <v:fill on="f" focussize="0,0"/>
            <v:stroke on="f"/>
            <v:imagedata r:id="rId98" o:title=""/>
            <o:lock v:ext="edit" aspectratio="t"/>
            <w10:wrap type="none"/>
            <w10:anchorlock/>
          </v:shape>
          <o:OLEObject Type="Embed" ProgID="Equation.3" ShapeID="_x0000_i1075" DrawAspect="Content" ObjectID="_1468075776" r:id="rId117">
            <o:LockedField>false</o:LockedField>
          </o:OLEObject>
        </w:object>
      </w:r>
      <w:r>
        <w:rPr>
          <w:rFonts w:hint="eastAsia" w:eastAsiaTheme="majorEastAsia"/>
          <w:color w:val="000000" w:themeColor="text1"/>
          <w:sz w:val="24"/>
          <w:lang w:eastAsia="zh-CN"/>
          <w14:textFill>
            <w14:solidFill>
              <w14:schemeClr w14:val="tx1"/>
            </w14:solidFill>
          </w14:textFill>
        </w:rPr>
        <w:t>引入</w:t>
      </w:r>
      <w:r>
        <w:rPr>
          <w:rFonts w:eastAsiaTheme="majorEastAsia"/>
          <w:color w:val="000000" w:themeColor="text1"/>
          <w:sz w:val="24"/>
          <w14:textFill>
            <w14:solidFill>
              <w14:schemeClr w14:val="tx1"/>
            </w14:solidFill>
          </w14:textFill>
        </w:rPr>
        <w:t>的</w:t>
      </w:r>
      <w:r>
        <w:rPr>
          <w:rFonts w:hint="eastAsia" w:eastAsiaTheme="majorEastAsia"/>
          <w:color w:val="000000" w:themeColor="text1"/>
          <w:sz w:val="24"/>
          <w:lang w:eastAsia="zh-CN"/>
          <w14:textFill>
            <w14:solidFill>
              <w14:schemeClr w14:val="tx1"/>
            </w14:solidFill>
          </w14:textFill>
        </w:rPr>
        <w:t>标准</w:t>
      </w:r>
      <w:r>
        <w:rPr>
          <w:rFonts w:eastAsiaTheme="majorEastAsia"/>
          <w:color w:val="000000" w:themeColor="text1"/>
          <w:sz w:val="24"/>
          <w14:textFill>
            <w14:solidFill>
              <w14:schemeClr w14:val="tx1"/>
            </w14:solidFill>
          </w14:textFill>
        </w:rPr>
        <w:t>不确定度由计数的统计涨落引起</w:t>
      </w:r>
      <w:r>
        <w:rPr>
          <w:rFonts w:hint="eastAsia" w:eastAsiaTheme="majorEastAsia"/>
          <w:color w:val="000000" w:themeColor="text1"/>
          <w:sz w:val="24"/>
          <w14:textFill>
            <w14:solidFill>
              <w14:schemeClr w14:val="tx1"/>
            </w14:solidFill>
          </w14:textFill>
        </w:rPr>
        <w:t>，计数率服从泊松分布，</w:t>
      </w:r>
      <w:r>
        <w:rPr>
          <w:rFonts w:hint="eastAsia" w:eastAsiaTheme="majorEastAsia"/>
          <w:color w:val="000000" w:themeColor="text1"/>
          <w:sz w:val="24"/>
          <w:lang w:eastAsia="zh-CN"/>
          <w14:textFill>
            <w14:solidFill>
              <w14:schemeClr w14:val="tx1"/>
            </w14:solidFill>
          </w14:textFill>
        </w:rPr>
        <w:t>采用</w:t>
      </w:r>
      <w:r>
        <w:rPr>
          <w:rFonts w:eastAsiaTheme="majorEastAsia"/>
          <w:color w:val="000000" w:themeColor="text1"/>
          <w:sz w:val="24"/>
          <w14:textFill>
            <w14:solidFill>
              <w14:schemeClr w14:val="tx1"/>
            </w14:solidFill>
          </w14:textFill>
        </w:rPr>
        <w:t>B类方法</w:t>
      </w:r>
      <w:r>
        <w:rPr>
          <w:rFonts w:hint="eastAsia" w:eastAsiaTheme="majorEastAsia"/>
          <w:color w:val="000000" w:themeColor="text1"/>
          <w:sz w:val="24"/>
          <w:lang w:eastAsia="zh-CN"/>
          <w14:textFill>
            <w14:solidFill>
              <w14:schemeClr w14:val="tx1"/>
            </w14:solidFill>
          </w14:textFill>
        </w:rPr>
        <w:t>进行</w:t>
      </w:r>
      <w:r>
        <w:rPr>
          <w:rFonts w:eastAsiaTheme="majorEastAsia"/>
          <w:color w:val="000000" w:themeColor="text1"/>
          <w:sz w:val="24"/>
          <w14:textFill>
            <w14:solidFill>
              <w14:schemeClr w14:val="tx1"/>
            </w14:solidFill>
          </w14:textFill>
        </w:rPr>
        <w:t>评定。</w:t>
      </w:r>
      <w:r>
        <w:rPr>
          <w:rFonts w:eastAsiaTheme="majorEastAsia"/>
          <w:color w:val="000000" w:themeColor="text1"/>
          <w:kern w:val="0"/>
          <w:sz w:val="24"/>
          <w:lang w:val="zh-CN"/>
          <w14:textFill>
            <w14:solidFill>
              <w14:schemeClr w14:val="tx1"/>
            </w14:solidFill>
          </w14:textFill>
        </w:rPr>
        <w:t>设在时间</w:t>
      </w:r>
      <w:r>
        <w:rPr>
          <w:rFonts w:hint="eastAsia" w:eastAsiaTheme="majorEastAsia"/>
          <w:i/>
          <w:color w:val="000000" w:themeColor="text1"/>
          <w:kern w:val="0"/>
          <w:sz w:val="24"/>
          <w:lang w:val="zh-CN"/>
          <w14:textFill>
            <w14:solidFill>
              <w14:schemeClr w14:val="tx1"/>
            </w14:solidFill>
          </w14:textFill>
        </w:rPr>
        <w:t>t</w:t>
      </w:r>
      <w:r>
        <w:rPr>
          <w:rFonts w:eastAsiaTheme="majorEastAsia"/>
          <w:color w:val="000000" w:themeColor="text1"/>
          <w:kern w:val="0"/>
          <w:sz w:val="24"/>
          <w:lang w:val="zh-CN"/>
          <w14:textFill>
            <w14:solidFill>
              <w14:schemeClr w14:val="tx1"/>
            </w14:solidFill>
          </w14:textFill>
        </w:rPr>
        <w:t>内记录到的计数为</w:t>
      </w:r>
      <w:r>
        <w:rPr>
          <w:rFonts w:eastAsiaTheme="majorEastAsia"/>
          <w:i/>
          <w:color w:val="000000" w:themeColor="text1"/>
          <w:kern w:val="0"/>
          <w:sz w:val="24"/>
          <w:lang w:val="zh-CN" w:eastAsia="zh-CN"/>
          <w14:textFill>
            <w14:solidFill>
              <w14:schemeClr w14:val="tx1"/>
            </w14:solidFill>
          </w14:textFill>
        </w:rPr>
        <w:t>N</w:t>
      </w:r>
      <w:r>
        <w:rPr>
          <w:rFonts w:eastAsiaTheme="majorEastAsia"/>
          <w:color w:val="000000" w:themeColor="text1"/>
          <w:kern w:val="0"/>
          <w:sz w:val="24"/>
          <w:lang w:val="zh-CN" w:eastAsia="zh-CN"/>
          <w14:textFill>
            <w14:solidFill>
              <w14:schemeClr w14:val="tx1"/>
            </w14:solidFill>
          </w14:textFill>
        </w:rPr>
        <w:t>，</w:t>
      </w:r>
      <w:r>
        <w:rPr>
          <w:rFonts w:eastAsiaTheme="majorEastAsia"/>
          <w:color w:val="000000" w:themeColor="text1"/>
          <w:kern w:val="0"/>
          <w:sz w:val="24"/>
          <w:lang w:val="zh-CN"/>
          <w14:textFill>
            <w14:solidFill>
              <w14:schemeClr w14:val="tx1"/>
            </w14:solidFill>
          </w14:textFill>
        </w:rPr>
        <w:t>则计数率为：</w:t>
      </w:r>
    </w:p>
    <w:p w14:paraId="6BED8F1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position w:val="-24"/>
        </w:rPr>
      </w:pPr>
      <w:r>
        <w:rPr>
          <w:position w:val="-24"/>
        </w:rPr>
        <w:object>
          <v:shape id="_x0000_i1076" o:spt="75" type="#_x0000_t75" style="height:34pt;width:32.75pt;" o:ole="t" filled="f" o:preferrelative="t" stroked="f" coordsize="21600,21600">
            <v:path/>
            <v:fill on="f" focussize="0,0"/>
            <v:stroke on="f"/>
            <v:imagedata r:id="rId119" o:title=""/>
            <o:lock v:ext="edit" aspectratio="f"/>
            <w10:wrap type="none"/>
            <w10:anchorlock/>
          </v:shape>
          <o:OLEObject Type="Embed" ProgID="Equation.DSMT4" ShapeID="_x0000_i1076" DrawAspect="Content" ObjectID="_1468075777" r:id="rId118">
            <o:LockedField>false</o:LockedField>
          </o:OLEObject>
        </w:object>
      </w:r>
    </w:p>
    <w:p w14:paraId="3B2A0F3F">
      <w:pPr>
        <w:keepNext w:val="0"/>
        <w:keepLines w:val="0"/>
        <w:pageBreakBefore w:val="0"/>
        <w:widowControl/>
        <w:kinsoku/>
        <w:wordWrap/>
        <w:overflowPunct/>
        <w:topLinePunct w:val="0"/>
        <w:autoSpaceDE/>
        <w:autoSpaceDN/>
        <w:bidi w:val="0"/>
        <w:snapToGrid/>
        <w:spacing w:line="480" w:lineRule="exact"/>
        <w:ind w:firstLine="480" w:firstLineChars="200"/>
        <w:textAlignment w:val="auto"/>
        <w:rPr>
          <w:rFonts w:eastAsiaTheme="majorEastAsia"/>
          <w:color w:val="000000" w:themeColor="text1"/>
          <w:kern w:val="0"/>
          <w:sz w:val="24"/>
          <w:lang w:val="zh-CN"/>
          <w14:textFill>
            <w14:solidFill>
              <w14:schemeClr w14:val="tx1"/>
            </w14:solidFill>
          </w14:textFill>
        </w:rPr>
      </w:pPr>
      <w:r>
        <w:rPr>
          <w:rFonts w:eastAsiaTheme="majorEastAsia"/>
          <w:color w:val="000000" w:themeColor="text1"/>
          <w:kern w:val="0"/>
          <w:sz w:val="24"/>
          <w:lang w:val="zh-CN"/>
          <w14:textFill>
            <w14:solidFill>
              <w14:schemeClr w14:val="tx1"/>
            </w14:solidFill>
          </w14:textFill>
        </w:rPr>
        <w:t>根据不确定传播</w:t>
      </w:r>
      <w:r>
        <w:rPr>
          <w:rFonts w:hint="eastAsia" w:eastAsiaTheme="majorEastAsia"/>
          <w:color w:val="000000" w:themeColor="text1"/>
          <w:kern w:val="0"/>
          <w:sz w:val="24"/>
          <w:lang w:val="zh-CN"/>
          <w14:textFill>
            <w14:solidFill>
              <w14:schemeClr w14:val="tx1"/>
            </w14:solidFill>
          </w14:textFill>
        </w:rPr>
        <w:t>律</w:t>
      </w:r>
      <w:r>
        <w:rPr>
          <w:rFonts w:eastAsiaTheme="majorEastAsia"/>
          <w:color w:val="000000" w:themeColor="text1"/>
          <w:kern w:val="0"/>
          <w:sz w:val="24"/>
          <w:lang w:val="zh-CN"/>
          <w14:textFill>
            <w14:solidFill>
              <w14:schemeClr w14:val="tx1"/>
            </w14:solidFill>
          </w14:textFill>
        </w:rPr>
        <w:t>，可以得到计数率的标准不确定度为：</w:t>
      </w:r>
    </w:p>
    <w:p w14:paraId="3D6528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eastAsiaTheme="majorEastAsia"/>
          <w:color w:val="000000" w:themeColor="text1"/>
          <w:kern w:val="0"/>
          <w:sz w:val="24"/>
          <w:lang w:val="zh-CN"/>
          <w14:textFill>
            <w14:solidFill>
              <w14:schemeClr w14:val="tx1"/>
            </w14:solidFill>
          </w14:textFill>
        </w:rPr>
      </w:pPr>
      <w:r>
        <w:rPr>
          <w:rFonts w:eastAsiaTheme="majorEastAsia"/>
          <w:color w:val="000000" w:themeColor="text1"/>
          <w:kern w:val="0"/>
          <w:position w:val="-30"/>
          <w:sz w:val="24"/>
          <w:lang w:val="zh-CN" w:eastAsia="zh-CN"/>
          <w14:textFill>
            <w14:solidFill>
              <w14:schemeClr w14:val="tx1"/>
            </w14:solidFill>
          </w14:textFill>
        </w:rPr>
        <w:object>
          <v:shape id="_x0000_i1077" o:spt="75" type="#_x0000_t75" style="height:36.85pt;width:156.3pt;" o:ole="t" filled="f" o:preferrelative="t" stroked="f" coordsize="21600,21600">
            <v:path/>
            <v:fill on="f" focussize="0,0"/>
            <v:stroke on="f"/>
            <v:imagedata r:id="rId121" o:title=""/>
            <o:lock v:ext="edit" aspectratio="t"/>
            <w10:wrap type="none"/>
            <w10:anchorlock/>
          </v:shape>
          <o:OLEObject Type="Embed" ProgID="Equation.DSMT4" ShapeID="_x0000_i1077" DrawAspect="Content" ObjectID="_1468075778" r:id="rId120">
            <o:LockedField>false</o:LockedField>
          </o:OLEObject>
        </w:object>
      </w:r>
    </w:p>
    <w:p w14:paraId="3939ECBB">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eastAsiaTheme="majorEastAsia"/>
          <w:color w:val="000000" w:themeColor="text1"/>
          <w:sz w:val="24"/>
          <w:lang w:val="zh-CN"/>
          <w14:textFill>
            <w14:solidFill>
              <w14:schemeClr w14:val="tx1"/>
            </w14:solidFill>
          </w14:textFill>
        </w:rPr>
      </w:pPr>
      <w:r>
        <w:rPr>
          <w:rFonts w:eastAsiaTheme="majorEastAsia"/>
          <w:color w:val="000000" w:themeColor="text1"/>
          <w:sz w:val="24"/>
          <w:lang w:val="zh-CN"/>
          <w14:textFill>
            <w14:solidFill>
              <w14:schemeClr w14:val="tx1"/>
            </w14:solidFill>
          </w14:textFill>
        </w:rPr>
        <w:t>其中</w:t>
      </w:r>
      <w:r>
        <w:rPr>
          <w:rFonts w:hint="eastAsia" w:eastAsiaTheme="majorEastAsia"/>
          <w:i/>
          <w:iCs/>
          <w:color w:val="000000" w:themeColor="text1"/>
          <w:sz w:val="24"/>
          <w:lang w:val="en-US" w:eastAsia="zh-CN"/>
          <w14:textFill>
            <w14:solidFill>
              <w14:schemeClr w14:val="tx1"/>
            </w14:solidFill>
          </w14:textFill>
        </w:rPr>
        <w:t>u</w:t>
      </w:r>
      <w:r>
        <w:rPr>
          <w:rFonts w:hint="eastAsia" w:eastAsiaTheme="majorEastAsia"/>
          <w:color w:val="000000" w:themeColor="text1"/>
          <w:sz w:val="24"/>
          <w:lang w:val="en-US" w:eastAsia="zh-CN"/>
          <w14:textFill>
            <w14:solidFill>
              <w14:schemeClr w14:val="tx1"/>
            </w14:solidFill>
          </w14:textFill>
        </w:rPr>
        <w:t>(</w:t>
      </w:r>
      <w:r>
        <w:rPr>
          <w:rFonts w:hint="eastAsia" w:eastAsiaTheme="majorEastAsia"/>
          <w:i/>
          <w:iCs/>
          <w:color w:val="000000" w:themeColor="text1"/>
          <w:sz w:val="24"/>
          <w:lang w:val="en-US" w:eastAsia="zh-CN"/>
          <w14:textFill>
            <w14:solidFill>
              <w14:schemeClr w14:val="tx1"/>
            </w14:solidFill>
          </w14:textFill>
        </w:rPr>
        <w:t>N</w:t>
      </w:r>
      <w:r>
        <w:rPr>
          <w:rFonts w:hint="eastAsia" w:eastAsiaTheme="majorEastAsia"/>
          <w:color w:val="000000" w:themeColor="text1"/>
          <w:sz w:val="24"/>
          <w:lang w:val="en-US" w:eastAsia="zh-CN"/>
          <w14:textFill>
            <w14:solidFill>
              <w14:schemeClr w14:val="tx1"/>
            </w14:solidFill>
          </w14:textFill>
        </w:rPr>
        <w:t>)</w:t>
      </w:r>
      <w:r>
        <w:rPr>
          <w:rFonts w:eastAsiaTheme="majorEastAsia"/>
          <w:color w:val="000000" w:themeColor="text1"/>
          <w:sz w:val="24"/>
          <w:lang w:val="zh-CN"/>
          <w14:textFill>
            <w14:solidFill>
              <w14:schemeClr w14:val="tx1"/>
            </w14:solidFill>
          </w14:textFill>
        </w:rPr>
        <w:t>，</w:t>
      </w:r>
      <w:r>
        <w:rPr>
          <w:rFonts w:hint="eastAsia" w:eastAsiaTheme="majorEastAsia"/>
          <w:i/>
          <w:iCs/>
          <w:color w:val="000000" w:themeColor="text1"/>
          <w:sz w:val="24"/>
          <w:lang w:val="en-US" w:eastAsia="zh-CN"/>
          <w14:textFill>
            <w14:solidFill>
              <w14:schemeClr w14:val="tx1"/>
            </w14:solidFill>
          </w14:textFill>
        </w:rPr>
        <w:t>u</w:t>
      </w:r>
      <w:r>
        <w:rPr>
          <w:rFonts w:hint="eastAsia" w:eastAsiaTheme="majorEastAsia"/>
          <w:color w:val="000000" w:themeColor="text1"/>
          <w:sz w:val="24"/>
          <w:lang w:val="en-US" w:eastAsia="zh-CN"/>
          <w14:textFill>
            <w14:solidFill>
              <w14:schemeClr w14:val="tx1"/>
            </w14:solidFill>
          </w14:textFill>
        </w:rPr>
        <w:t>(</w:t>
      </w:r>
      <w:r>
        <w:rPr>
          <w:rFonts w:hint="eastAsia" w:eastAsiaTheme="majorEastAsia"/>
          <w:i/>
          <w:iCs/>
          <w:color w:val="000000" w:themeColor="text1"/>
          <w:sz w:val="24"/>
          <w:lang w:val="en-US" w:eastAsia="zh-CN"/>
          <w14:textFill>
            <w14:solidFill>
              <w14:schemeClr w14:val="tx1"/>
            </w14:solidFill>
          </w14:textFill>
        </w:rPr>
        <w:t>t</w:t>
      </w:r>
      <w:r>
        <w:rPr>
          <w:rFonts w:hint="eastAsia" w:eastAsiaTheme="majorEastAsia"/>
          <w:color w:val="000000" w:themeColor="text1"/>
          <w:sz w:val="24"/>
          <w:lang w:val="en-US" w:eastAsia="zh-CN"/>
          <w14:textFill>
            <w14:solidFill>
              <w14:schemeClr w14:val="tx1"/>
            </w14:solidFill>
          </w14:textFill>
        </w:rPr>
        <w:t>)</w:t>
      </w:r>
      <w:r>
        <w:rPr>
          <w:rFonts w:eastAsiaTheme="majorEastAsia"/>
          <w:color w:val="000000" w:themeColor="text1"/>
          <w:sz w:val="24"/>
          <w:lang w:val="zh-CN"/>
          <w14:textFill>
            <w14:solidFill>
              <w14:schemeClr w14:val="tx1"/>
            </w14:solidFill>
          </w14:textFill>
        </w:rPr>
        <w:t>分别为</w:t>
      </w:r>
      <w:r>
        <w:rPr>
          <w:rFonts w:hint="eastAsia" w:eastAsiaTheme="majorEastAsia"/>
          <w:i/>
          <w:color w:val="000000" w:themeColor="text1"/>
          <w:sz w:val="24"/>
          <w:lang w:val="zh-CN"/>
          <w14:textFill>
            <w14:solidFill>
              <w14:schemeClr w14:val="tx1"/>
            </w14:solidFill>
          </w14:textFill>
        </w:rPr>
        <w:t>N</w:t>
      </w:r>
      <w:r>
        <w:rPr>
          <w:rFonts w:hint="eastAsia" w:eastAsiaTheme="minorEastAsia"/>
        </w:rPr>
        <w:t>和</w:t>
      </w:r>
      <w:r>
        <w:rPr>
          <w:rFonts w:eastAsiaTheme="majorEastAsia"/>
          <w:i/>
          <w:color w:val="000000" w:themeColor="text1"/>
          <w:sz w:val="24"/>
          <w:lang w:val="zh-CN"/>
          <w14:textFill>
            <w14:solidFill>
              <w14:schemeClr w14:val="tx1"/>
            </w14:solidFill>
          </w14:textFill>
        </w:rPr>
        <w:t>t</w:t>
      </w:r>
      <w:r>
        <w:rPr>
          <w:rFonts w:eastAsiaTheme="majorEastAsia"/>
          <w:color w:val="000000" w:themeColor="text1"/>
          <w:sz w:val="24"/>
          <w:lang w:val="zh-CN"/>
          <w14:textFill>
            <w14:solidFill>
              <w14:schemeClr w14:val="tx1"/>
            </w14:solidFill>
          </w14:textFill>
        </w:rPr>
        <w:t>的标准不确定度。</w:t>
      </w:r>
    </w:p>
    <w:p w14:paraId="37C9E143">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eastAsiaTheme="majorEastAsia"/>
          <w:color w:val="000000" w:themeColor="text1"/>
          <w:sz w:val="24"/>
          <w:lang w:val="zh-CN"/>
          <w14:textFill>
            <w14:solidFill>
              <w14:schemeClr w14:val="tx1"/>
            </w14:solidFill>
          </w14:textFill>
        </w:rPr>
      </w:pPr>
      <w:r>
        <w:rPr>
          <w:rFonts w:hint="eastAsia" w:eastAsiaTheme="majorEastAsia"/>
          <w:color w:val="000000" w:themeColor="text1"/>
          <w:sz w:val="24"/>
          <w:lang w:val="zh-CN"/>
          <w14:textFill>
            <w14:solidFill>
              <w14:schemeClr w14:val="tx1"/>
            </w14:solidFill>
          </w14:textFill>
        </w:rPr>
        <w:t>计数</w:t>
      </w:r>
      <w:r>
        <w:rPr>
          <w:rFonts w:eastAsiaTheme="majorEastAsia"/>
          <w:color w:val="000000" w:themeColor="text1"/>
          <w:sz w:val="24"/>
          <w:lang w:val="zh-CN"/>
          <w14:textFill>
            <w14:solidFill>
              <w14:schemeClr w14:val="tx1"/>
            </w14:solidFill>
          </w14:textFill>
        </w:rPr>
        <w:t>服从泊松分布，样品计数</w:t>
      </w:r>
      <w:r>
        <w:rPr>
          <w:rFonts w:hint="eastAsia" w:eastAsiaTheme="majorEastAsia"/>
          <w:i/>
          <w:color w:val="000000" w:themeColor="text1"/>
          <w:sz w:val="24"/>
          <w:lang w:val="zh-CN"/>
          <w14:textFill>
            <w14:solidFill>
              <w14:schemeClr w14:val="tx1"/>
            </w14:solidFill>
          </w14:textFill>
        </w:rPr>
        <w:t>N</w:t>
      </w:r>
      <w:r>
        <w:rPr>
          <w:rFonts w:eastAsiaTheme="majorEastAsia"/>
          <w:color w:val="000000" w:themeColor="text1"/>
          <w:sz w:val="24"/>
          <w:lang w:val="zh-CN"/>
          <w14:textFill>
            <w14:solidFill>
              <w14:schemeClr w14:val="tx1"/>
            </w14:solidFill>
          </w14:textFill>
        </w:rPr>
        <w:t>的标准不确定度</w:t>
      </w:r>
      <w:r>
        <w:rPr>
          <w:rFonts w:hint="eastAsia" w:eastAsiaTheme="majorEastAsia"/>
          <w:i/>
          <w:iCs/>
          <w:color w:val="000000" w:themeColor="text1"/>
          <w:sz w:val="24"/>
          <w:lang w:val="en-US" w:eastAsia="zh-CN"/>
          <w14:textFill>
            <w14:solidFill>
              <w14:schemeClr w14:val="tx1"/>
            </w14:solidFill>
          </w14:textFill>
        </w:rPr>
        <w:t>u</w:t>
      </w:r>
      <w:r>
        <w:rPr>
          <w:rFonts w:hint="eastAsia" w:eastAsiaTheme="majorEastAsia"/>
          <w:color w:val="000000" w:themeColor="text1"/>
          <w:sz w:val="24"/>
          <w:lang w:val="en-US" w:eastAsia="zh-CN"/>
          <w14:textFill>
            <w14:solidFill>
              <w14:schemeClr w14:val="tx1"/>
            </w14:solidFill>
          </w14:textFill>
        </w:rPr>
        <w:t>(</w:t>
      </w:r>
      <w:r>
        <w:rPr>
          <w:rFonts w:hint="eastAsia" w:eastAsiaTheme="majorEastAsia"/>
          <w:i/>
          <w:iCs/>
          <w:color w:val="000000" w:themeColor="text1"/>
          <w:sz w:val="24"/>
          <w:lang w:val="en-US" w:eastAsia="zh-CN"/>
          <w14:textFill>
            <w14:solidFill>
              <w14:schemeClr w14:val="tx1"/>
            </w14:solidFill>
          </w14:textFill>
        </w:rPr>
        <w:t>N</w:t>
      </w:r>
      <w:r>
        <w:rPr>
          <w:rFonts w:hint="eastAsia" w:eastAsiaTheme="majorEastAsia"/>
          <w:color w:val="000000" w:themeColor="text1"/>
          <w:sz w:val="24"/>
          <w:lang w:val="en-US" w:eastAsia="zh-CN"/>
          <w14:textFill>
            <w14:solidFill>
              <w14:schemeClr w14:val="tx1"/>
            </w14:solidFill>
          </w14:textFill>
        </w:rPr>
        <w:t>)</w:t>
      </w:r>
      <w:r>
        <w:rPr>
          <w:rFonts w:eastAsiaTheme="majorEastAsia"/>
          <w:color w:val="000000" w:themeColor="text1"/>
          <w:sz w:val="24"/>
          <w:lang w:val="zh-CN"/>
          <w14:textFill>
            <w14:solidFill>
              <w14:schemeClr w14:val="tx1"/>
            </w14:solidFill>
          </w14:textFill>
        </w:rPr>
        <w:t>为：</w:t>
      </w:r>
    </w:p>
    <w:p w14:paraId="19990C8B">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rPr>
          <w:rFonts w:eastAsiaTheme="majorEastAsia"/>
          <w:color w:val="000000" w:themeColor="text1"/>
          <w:kern w:val="0"/>
          <w:sz w:val="24"/>
          <w:lang w:val="zh-CN"/>
          <w14:textFill>
            <w14:solidFill>
              <w14:schemeClr w14:val="tx1"/>
            </w14:solidFill>
          </w14:textFill>
        </w:rPr>
      </w:pPr>
      <w:r>
        <w:rPr>
          <w:rFonts w:ascii="Times New Roman" w:hAnsi="Times New Roman" w:cs="Times New Roman"/>
          <w:position w:val="-8"/>
        </w:rPr>
        <w:object>
          <v:shape id="_x0000_i1078" o:spt="75" type="#_x0000_t75" style="height:18.25pt;width:60pt;" o:ole="t" filled="f" o:preferrelative="t" stroked="f" coordsize="21600,21600">
            <v:path/>
            <v:fill on="f" focussize="0,0"/>
            <v:stroke on="f"/>
            <v:imagedata r:id="rId123" o:title=""/>
            <o:lock v:ext="edit" aspectratio="t"/>
            <w10:wrap type="none"/>
            <w10:anchorlock/>
          </v:shape>
          <o:OLEObject Type="Embed" ProgID="Equation.DSMT4" ShapeID="_x0000_i1078" DrawAspect="Content" ObjectID="_1468075779" r:id="rId122">
            <o:LockedField>false</o:LockedField>
          </o:OLEObject>
        </w:object>
      </w:r>
    </w:p>
    <w:p w14:paraId="6E10E71B">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eastAsiaTheme="majorEastAsia"/>
          <w:color w:val="000000" w:themeColor="text1"/>
          <w:kern w:val="0"/>
          <w:sz w:val="24"/>
          <w:lang w:val="zh-CN" w:eastAsia="zh-CN"/>
          <w14:textFill>
            <w14:solidFill>
              <w14:schemeClr w14:val="tx1"/>
            </w14:solidFill>
          </w14:textFill>
        </w:rPr>
      </w:pPr>
      <w:r>
        <w:rPr>
          <w:rFonts w:eastAsiaTheme="majorEastAsia"/>
          <w:color w:val="000000" w:themeColor="text1"/>
          <w:sz w:val="24"/>
          <w:lang w:val="zh-CN"/>
          <w14:textFill>
            <w14:solidFill>
              <w14:schemeClr w14:val="tx1"/>
            </w14:solidFill>
          </w14:textFill>
        </w:rPr>
        <w:t>一般</w:t>
      </w:r>
      <w:r>
        <w:rPr>
          <w:rFonts w:hint="eastAsia" w:eastAsiaTheme="majorEastAsia"/>
          <w:color w:val="000000" w:themeColor="text1"/>
          <w:sz w:val="24"/>
          <w:lang w:val="zh-CN"/>
          <w14:textFill>
            <w14:solidFill>
              <w14:schemeClr w14:val="tx1"/>
            </w14:solidFill>
          </w14:textFill>
        </w:rPr>
        <w:t>情况下</w:t>
      </w:r>
      <w:r>
        <w:rPr>
          <w:rFonts w:eastAsiaTheme="majorEastAsia"/>
          <w:color w:val="000000" w:themeColor="text1"/>
          <w:sz w:val="24"/>
          <w:lang w:val="zh-CN"/>
          <w14:textFill>
            <w14:solidFill>
              <w14:schemeClr w14:val="tx1"/>
            </w14:solidFill>
          </w14:textFill>
        </w:rPr>
        <w:t>，</w:t>
      </w:r>
      <w:r>
        <w:rPr>
          <w:rFonts w:eastAsiaTheme="majorEastAsia"/>
          <w:color w:val="000000" w:themeColor="text1"/>
          <w:kern w:val="0"/>
          <w:sz w:val="24"/>
          <w:lang w:val="zh-CN"/>
          <w14:textFill>
            <w14:solidFill>
              <w14:schemeClr w14:val="tx1"/>
            </w14:solidFill>
          </w14:textFill>
        </w:rPr>
        <w:t>时间</w:t>
      </w:r>
      <w:r>
        <w:rPr>
          <w:rFonts w:hint="eastAsia" w:eastAsiaTheme="majorEastAsia"/>
          <w:i/>
          <w:color w:val="000000" w:themeColor="text1"/>
          <w:kern w:val="0"/>
          <w:sz w:val="24"/>
          <w:lang w:val="zh-CN"/>
          <w14:textFill>
            <w14:solidFill>
              <w14:schemeClr w14:val="tx1"/>
            </w14:solidFill>
          </w14:textFill>
        </w:rPr>
        <w:t>t</w:t>
      </w:r>
      <w:r>
        <w:rPr>
          <w:rFonts w:eastAsiaTheme="majorEastAsia"/>
          <w:color w:val="000000" w:themeColor="text1"/>
          <w:kern w:val="0"/>
          <w:sz w:val="24"/>
          <w:lang w:val="zh-CN"/>
          <w14:textFill>
            <w14:solidFill>
              <w14:schemeClr w14:val="tx1"/>
            </w14:solidFill>
          </w14:textFill>
        </w:rPr>
        <w:t>的不确定度可以忽略，即</w:t>
      </w:r>
      <w:r>
        <w:rPr>
          <w:rFonts w:hint="eastAsia" w:eastAsiaTheme="majorEastAsia"/>
          <w:i/>
          <w:iCs/>
          <w:color w:val="000000" w:themeColor="text1"/>
          <w:sz w:val="24"/>
          <w:lang w:val="en-US" w:eastAsia="zh-CN"/>
          <w14:textFill>
            <w14:solidFill>
              <w14:schemeClr w14:val="tx1"/>
            </w14:solidFill>
          </w14:textFill>
        </w:rPr>
        <w:t>u</w:t>
      </w:r>
      <w:r>
        <w:rPr>
          <w:rFonts w:hint="eastAsia" w:eastAsiaTheme="majorEastAsia"/>
          <w:color w:val="000000" w:themeColor="text1"/>
          <w:sz w:val="24"/>
          <w:lang w:val="en-US" w:eastAsia="zh-CN"/>
          <w14:textFill>
            <w14:solidFill>
              <w14:schemeClr w14:val="tx1"/>
            </w14:solidFill>
          </w14:textFill>
        </w:rPr>
        <w:t>(</w:t>
      </w:r>
      <w:r>
        <w:rPr>
          <w:rFonts w:hint="eastAsia" w:eastAsiaTheme="majorEastAsia"/>
          <w:i/>
          <w:iCs/>
          <w:color w:val="000000" w:themeColor="text1"/>
          <w:sz w:val="24"/>
          <w:lang w:val="en-US" w:eastAsia="zh-CN"/>
          <w14:textFill>
            <w14:solidFill>
              <w14:schemeClr w14:val="tx1"/>
            </w14:solidFill>
          </w14:textFill>
        </w:rPr>
        <w:t>t</w:t>
      </w:r>
      <w:r>
        <w:rPr>
          <w:rFonts w:hint="eastAsia" w:eastAsiaTheme="majorEastAsia"/>
          <w:color w:val="000000" w:themeColor="text1"/>
          <w:sz w:val="24"/>
          <w:lang w:val="en-US" w:eastAsia="zh-CN"/>
          <w14:textFill>
            <w14:solidFill>
              <w14:schemeClr w14:val="tx1"/>
            </w14:solidFill>
          </w14:textFill>
        </w:rPr>
        <w:t>)=0</w:t>
      </w:r>
      <w:r>
        <w:rPr>
          <w:rFonts w:eastAsiaTheme="majorEastAsia"/>
          <w:color w:val="000000" w:themeColor="text1"/>
          <w:sz w:val="24"/>
          <w:lang w:val="zh-CN"/>
          <w14:textFill>
            <w14:solidFill>
              <w14:schemeClr w14:val="tx1"/>
            </w14:solidFill>
          </w14:textFill>
        </w:rPr>
        <w:t>，</w:t>
      </w:r>
      <w:r>
        <w:rPr>
          <w:rFonts w:hint="eastAsia" w:eastAsiaTheme="majorEastAsia"/>
          <w:color w:val="000000" w:themeColor="text1"/>
          <w:sz w:val="24"/>
          <w:lang w:val="zh-CN"/>
          <w14:textFill>
            <w14:solidFill>
              <w14:schemeClr w14:val="tx1"/>
            </w14:solidFill>
          </w14:textFill>
        </w:rPr>
        <w:t>得到</w:t>
      </w:r>
      <w:r>
        <w:rPr>
          <w:rFonts w:hint="eastAsia" w:eastAsiaTheme="majorEastAsia"/>
          <w:color w:val="000000" w:themeColor="text1"/>
          <w:sz w:val="24"/>
          <w:lang w:eastAsia="zh-CN"/>
          <w14:textFill>
            <w14:solidFill>
              <w14:schemeClr w14:val="tx1"/>
            </w14:solidFill>
          </w14:textFill>
        </w:rPr>
        <w:t>全能峰</w:t>
      </w:r>
      <w:r>
        <w:rPr>
          <w:rFonts w:eastAsiaTheme="majorEastAsia"/>
          <w:color w:val="000000" w:themeColor="text1"/>
          <w:sz w:val="24"/>
          <w14:textFill>
            <w14:solidFill>
              <w14:schemeClr w14:val="tx1"/>
            </w14:solidFill>
          </w14:textFill>
        </w:rPr>
        <w:t>计数率</w:t>
      </w:r>
      <w:r>
        <w:rPr>
          <w:rFonts w:ascii="宋体" w:hAnsi="宋体"/>
          <w:kern w:val="0"/>
          <w:position w:val="-6"/>
        </w:rPr>
        <w:object>
          <v:shape id="_x0000_i1079" o:spt="75" type="#_x0000_t75" style="height:17.2pt;width:10.5pt;" o:ole="t" filled="f" o:preferrelative="t" stroked="f" coordsize="21600,21600">
            <v:path/>
            <v:fill on="f" focussize="0,0"/>
            <v:stroke on="f"/>
            <v:imagedata r:id="rId98" o:title=""/>
            <o:lock v:ext="edit" aspectratio="t"/>
            <w10:wrap type="none"/>
            <w10:anchorlock/>
          </v:shape>
          <o:OLEObject Type="Embed" ProgID="Equation.3" ShapeID="_x0000_i1079" DrawAspect="Content" ObjectID="_1468075780" r:id="rId124">
            <o:LockedField>false</o:LockedField>
          </o:OLEObject>
        </w:object>
      </w:r>
      <w:r>
        <w:rPr>
          <w:rFonts w:hint="eastAsia" w:eastAsiaTheme="majorEastAsia"/>
          <w:color w:val="000000" w:themeColor="text1"/>
          <w:sz w:val="24"/>
          <w:lang w:eastAsia="zh-CN"/>
          <w14:textFill>
            <w14:solidFill>
              <w14:schemeClr w14:val="tx1"/>
            </w14:solidFill>
          </w14:textFill>
        </w:rPr>
        <w:t>引入</w:t>
      </w:r>
      <w:r>
        <w:rPr>
          <w:rFonts w:eastAsiaTheme="majorEastAsia"/>
          <w:color w:val="000000" w:themeColor="text1"/>
          <w:sz w:val="24"/>
          <w14:textFill>
            <w14:solidFill>
              <w14:schemeClr w14:val="tx1"/>
            </w14:solidFill>
          </w14:textFill>
        </w:rPr>
        <w:t>的</w:t>
      </w:r>
      <w:r>
        <w:rPr>
          <w:rFonts w:hint="eastAsia" w:eastAsiaTheme="majorEastAsia"/>
          <w:color w:val="000000" w:themeColor="text1"/>
          <w:sz w:val="24"/>
          <w:lang w:eastAsia="zh-CN"/>
          <w14:textFill>
            <w14:solidFill>
              <w14:schemeClr w14:val="tx1"/>
            </w14:solidFill>
          </w14:textFill>
        </w:rPr>
        <w:t>标准</w:t>
      </w:r>
      <w:r>
        <w:rPr>
          <w:rFonts w:eastAsiaTheme="majorEastAsia"/>
          <w:color w:val="000000" w:themeColor="text1"/>
          <w:sz w:val="24"/>
          <w14:textFill>
            <w14:solidFill>
              <w14:schemeClr w14:val="tx1"/>
            </w14:solidFill>
          </w14:textFill>
        </w:rPr>
        <w:t>不确定度</w:t>
      </w:r>
      <w:r>
        <w:rPr>
          <w:rFonts w:hint="eastAsia" w:eastAsiaTheme="majorEastAsia"/>
          <w:color w:val="000000" w:themeColor="text1"/>
          <w:sz w:val="24"/>
          <w:lang w:eastAsia="zh-CN"/>
          <w14:textFill>
            <w14:solidFill>
              <w14:schemeClr w14:val="tx1"/>
            </w14:solidFill>
          </w14:textFill>
        </w:rPr>
        <w:t>：</w:t>
      </w:r>
    </w:p>
    <w:p w14:paraId="125864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eastAsiaTheme="majorEastAsia"/>
          <w:color w:val="000000" w:themeColor="text1"/>
          <w:kern w:val="0"/>
          <w:sz w:val="24"/>
          <w:lang w:val="zh-CN"/>
          <w14:textFill>
            <w14:solidFill>
              <w14:schemeClr w14:val="tx1"/>
            </w14:solidFill>
          </w14:textFill>
        </w:rPr>
      </w:pPr>
      <w:r>
        <w:rPr>
          <w:rFonts w:ascii="Times New Roman" w:hAnsi="Times New Roman" w:cs="Times New Roman"/>
          <w:position w:val="-24"/>
        </w:rPr>
        <w:object>
          <v:shape id="_x0000_i1080" o:spt="75" type="#_x0000_t75" style="height:34.45pt;width:177pt;" o:ole="t" filled="f" o:preferrelative="t" stroked="f" coordsize="21600,21600">
            <v:path/>
            <v:fill on="f" focussize="0,0"/>
            <v:stroke on="f"/>
            <v:imagedata r:id="rId126" o:title=""/>
            <o:lock v:ext="edit" aspectratio="t"/>
            <w10:wrap type="none"/>
            <w10:anchorlock/>
          </v:shape>
          <o:OLEObject Type="Embed" ProgID="Equation.DSMT4" ShapeID="_x0000_i1080" DrawAspect="Content" ObjectID="_1468075781" r:id="rId125">
            <o:LockedField>false</o:LockedField>
          </o:OLEObject>
        </w:object>
      </w:r>
    </w:p>
    <w:p w14:paraId="258A3E84">
      <w:pPr>
        <w:keepNext w:val="0"/>
        <w:keepLines w:val="0"/>
        <w:pageBreakBefore w:val="0"/>
        <w:kinsoku/>
        <w:wordWrap/>
        <w:overflowPunct/>
        <w:topLinePunct w:val="0"/>
        <w:bidi w:val="0"/>
        <w:snapToGrid/>
        <w:spacing w:line="480" w:lineRule="exact"/>
        <w:ind w:left="0" w:leftChars="0" w:firstLine="0" w:firstLineChars="0"/>
        <w:textAlignment w:val="auto"/>
        <w:rPr>
          <w:rFonts w:ascii="Times New Roman" w:hAnsi="Times New Roman" w:eastAsia="宋体" w:cs="Times New Roman"/>
          <w:b w:val="0"/>
          <w:bCs/>
          <w:color w:val="000000"/>
          <w:sz w:val="24"/>
          <w:szCs w:val="24"/>
          <w:lang w:val="en-US" w:eastAsia="zh-CN" w:bidi="en-US"/>
        </w:rPr>
      </w:pPr>
      <w:r>
        <w:rPr>
          <w:rFonts w:hint="eastAsia" w:ascii="Times New Roman" w:hAnsi="Times New Roman" w:eastAsia="宋体" w:cs="Times New Roman"/>
          <w:b w:val="0"/>
          <w:bCs/>
          <w:color w:val="000000"/>
          <w:sz w:val="24"/>
          <w:szCs w:val="24"/>
          <w:lang w:val="en-US" w:eastAsia="zh-CN" w:bidi="en-US"/>
        </w:rPr>
        <w:t>D.</w:t>
      </w:r>
      <w:r>
        <w:rPr>
          <w:rFonts w:hint="eastAsia" w:cs="Times New Roman"/>
          <w:b w:val="0"/>
          <w:bCs/>
          <w:color w:val="000000"/>
          <w:sz w:val="24"/>
          <w:szCs w:val="24"/>
          <w:lang w:val="en-US" w:eastAsia="zh-CN" w:bidi="en-US"/>
        </w:rPr>
        <w:t>4.2</w:t>
      </w:r>
      <w:r>
        <w:rPr>
          <w:rFonts w:hint="eastAsia" w:ascii="宋体" w:hAnsi="宋体" w:eastAsia="宋体" w:cs="宋体"/>
          <w:b w:val="0"/>
          <w:bCs/>
          <w:color w:val="000000"/>
          <w:sz w:val="24"/>
          <w:szCs w:val="24"/>
          <w:lang w:val="en-US" w:eastAsia="zh-CN" w:bidi="en-US"/>
        </w:rPr>
        <w:t xml:space="preserve">  </w:t>
      </w:r>
      <w:r>
        <w:rPr>
          <w:rFonts w:hint="eastAsia" w:ascii="宋体" w:hAnsi="宋体" w:cs="宋体"/>
          <w:b w:val="0"/>
          <w:bCs/>
          <w:color w:val="000000"/>
          <w:sz w:val="24"/>
          <w:szCs w:val="24"/>
          <w:lang w:val="en-US" w:eastAsia="zh-CN" w:bidi="en-US"/>
        </w:rPr>
        <w:t>输入量</w:t>
      </w:r>
      <w:r>
        <w:rPr>
          <w:rFonts w:ascii="宋体" w:hAnsi="宋体"/>
          <w:kern w:val="0"/>
          <w:position w:val="-12"/>
        </w:rPr>
        <w:object>
          <v:shape id="_x0000_i1081" o:spt="75" type="#_x0000_t75" style="height:18.1pt;width:13.65pt;" o:ole="t" filled="f" o:preferrelative="t" stroked="f" coordsize="21600,21600">
            <v:path/>
            <v:fill on="f" focussize="0,0"/>
            <v:stroke on="f"/>
            <v:imagedata r:id="rId101" o:title=""/>
            <o:lock v:ext="edit" aspectratio="t"/>
            <w10:wrap type="none"/>
            <w10:anchorlock/>
          </v:shape>
          <o:OLEObject Type="Embed" ProgID="Equation.3" ShapeID="_x0000_i1081" DrawAspect="Content" ObjectID="_1468075782" r:id="rId127">
            <o:LockedField>false</o:LockedField>
          </o:OLEObject>
        </w:object>
      </w:r>
      <w:r>
        <w:rPr>
          <w:rFonts w:hint="eastAsia" w:ascii="宋体" w:hAnsi="宋体" w:cs="宋体"/>
          <w:b w:val="0"/>
          <w:bCs/>
          <w:color w:val="000000"/>
          <w:sz w:val="24"/>
          <w:szCs w:val="24"/>
          <w:lang w:val="en-US" w:eastAsia="zh-CN" w:bidi="en-US"/>
        </w:rPr>
        <w:t>的标准不确定度</w:t>
      </w:r>
    </w:p>
    <w:p w14:paraId="2B72865A">
      <w:pPr>
        <w:pStyle w:val="7"/>
        <w:keepNext w:val="0"/>
        <w:keepLines w:val="0"/>
        <w:pageBreakBefore w:val="0"/>
        <w:kinsoku/>
        <w:wordWrap/>
        <w:overflowPunct/>
        <w:topLinePunct w:val="0"/>
        <w:autoSpaceDE/>
        <w:autoSpaceDN/>
        <w:bidi w:val="0"/>
        <w:snapToGrid/>
        <w:spacing w:line="480" w:lineRule="exact"/>
        <w:ind w:firstLine="480"/>
        <w:textAlignment w:val="auto"/>
        <w:rPr>
          <w:rFonts w:eastAsiaTheme="majorEastAsia"/>
          <w:color w:val="000000" w:themeColor="text1"/>
          <w:kern w:val="0"/>
          <w:sz w:val="24"/>
          <w:lang w:val="zh-CN"/>
          <w14:textFill>
            <w14:solidFill>
              <w14:schemeClr w14:val="tx1"/>
            </w14:solidFill>
          </w14:textFill>
        </w:rPr>
      </w:pPr>
      <w:r>
        <w:rPr>
          <w:rFonts w:hint="eastAsia" w:eastAsiaTheme="majorEastAsia"/>
          <w:color w:val="000000" w:themeColor="text1"/>
          <w:sz w:val="24"/>
          <w:lang w:eastAsia="zh-CN"/>
          <w14:textFill>
            <w14:solidFill>
              <w14:schemeClr w14:val="tx1"/>
            </w14:solidFill>
          </w14:textFill>
        </w:rPr>
        <w:t>本底的测量时间为</w:t>
      </w:r>
      <w:r>
        <w:rPr>
          <w:rFonts w:hint="eastAsia" w:eastAsiaTheme="majorEastAsia"/>
          <w:color w:val="000000" w:themeColor="text1"/>
          <w:sz w:val="24"/>
          <w:lang w:val="en-US" w:eastAsia="zh-CN"/>
          <w14:textFill>
            <w14:solidFill>
              <w14:schemeClr w14:val="tx1"/>
            </w14:solidFill>
          </w14:textFill>
        </w:rPr>
        <w:t>600 s，</w:t>
      </w:r>
      <w:r>
        <w:rPr>
          <w:rFonts w:hint="eastAsia"/>
          <w:kern w:val="0"/>
          <w:lang w:eastAsia="zh-CN"/>
        </w:rPr>
        <w:t>本底谱中</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w:t>
      </w:r>
      <w:r>
        <w:rPr>
          <w:rFonts w:hint="eastAsia"/>
          <w:color w:val="auto"/>
          <w:kern w:val="0"/>
          <w:sz w:val="24"/>
          <w:szCs w:val="24"/>
          <w:vertAlign w:val="baseline"/>
          <w:lang w:val="en-US" w:eastAsia="zh-CN"/>
        </w:rPr>
        <w:t>364.489 keV</w:t>
      </w:r>
      <w:r>
        <w:rPr>
          <w:rFonts w:hint="default" w:ascii="Times New Roman" w:hAnsi="Times New Roman" w:cs="Times New Roman"/>
          <w:kern w:val="0"/>
          <w:lang w:val="en-US" w:eastAsia="zh-CN"/>
        </w:rPr>
        <w:t>γ</w:t>
      </w:r>
      <w:r>
        <w:rPr>
          <w:rFonts w:hint="eastAsia"/>
          <w:kern w:val="0"/>
          <w:lang w:val="en-US" w:eastAsia="zh-CN"/>
        </w:rPr>
        <w:t>射线全能峰区域的计数为7174.3。</w:t>
      </w:r>
      <w:r>
        <w:rPr>
          <w:rFonts w:hint="eastAsia" w:eastAsiaTheme="majorEastAsia"/>
          <w:color w:val="000000" w:themeColor="text1"/>
          <w:sz w:val="24"/>
          <w:lang w:eastAsia="zh-CN"/>
          <w14:textFill>
            <w14:solidFill>
              <w14:schemeClr w14:val="tx1"/>
            </w14:solidFill>
          </w14:textFill>
        </w:rPr>
        <w:t>本底</w:t>
      </w:r>
      <w:r>
        <w:rPr>
          <w:rFonts w:eastAsiaTheme="majorEastAsia"/>
          <w:color w:val="000000" w:themeColor="text1"/>
          <w:sz w:val="24"/>
          <w14:textFill>
            <w14:solidFill>
              <w14:schemeClr w14:val="tx1"/>
            </w14:solidFill>
          </w14:textFill>
        </w:rPr>
        <w:t>计数率</w:t>
      </w:r>
      <w:r>
        <w:rPr>
          <w:rFonts w:ascii="宋体" w:hAnsi="宋体"/>
          <w:kern w:val="0"/>
          <w:position w:val="-12"/>
        </w:rPr>
        <w:object>
          <v:shape id="_x0000_i1082" o:spt="75" type="#_x0000_t75" style="height:18.1pt;width:13.65pt;" o:ole="t" filled="f" o:preferrelative="t" stroked="f" coordsize="21600,21600">
            <v:path/>
            <v:fill on="f" focussize="0,0"/>
            <v:stroke on="f"/>
            <v:imagedata r:id="rId101" o:title=""/>
            <o:lock v:ext="edit" aspectratio="t"/>
            <w10:wrap type="none"/>
            <w10:anchorlock/>
          </v:shape>
          <o:OLEObject Type="Embed" ProgID="Equation.3" ShapeID="_x0000_i1082" DrawAspect="Content" ObjectID="_1468075783" r:id="rId128">
            <o:LockedField>false</o:LockedField>
          </o:OLEObject>
        </w:object>
      </w:r>
      <w:r>
        <w:rPr>
          <w:rFonts w:hint="eastAsia" w:eastAsiaTheme="majorEastAsia"/>
          <w:color w:val="000000" w:themeColor="text1"/>
          <w:sz w:val="24"/>
          <w:lang w:eastAsia="zh-CN"/>
          <w14:textFill>
            <w14:solidFill>
              <w14:schemeClr w14:val="tx1"/>
            </w14:solidFill>
          </w14:textFill>
        </w:rPr>
        <w:t>引入</w:t>
      </w:r>
      <w:r>
        <w:rPr>
          <w:rFonts w:eastAsiaTheme="majorEastAsia"/>
          <w:color w:val="000000" w:themeColor="text1"/>
          <w:sz w:val="24"/>
          <w14:textFill>
            <w14:solidFill>
              <w14:schemeClr w14:val="tx1"/>
            </w14:solidFill>
          </w14:textFill>
        </w:rPr>
        <w:t>的</w:t>
      </w:r>
      <w:r>
        <w:rPr>
          <w:rFonts w:hint="eastAsia" w:eastAsiaTheme="majorEastAsia"/>
          <w:color w:val="000000" w:themeColor="text1"/>
          <w:sz w:val="24"/>
          <w:lang w:eastAsia="zh-CN"/>
          <w14:textFill>
            <w14:solidFill>
              <w14:schemeClr w14:val="tx1"/>
            </w14:solidFill>
          </w14:textFill>
        </w:rPr>
        <w:t>标准</w:t>
      </w:r>
      <w:r>
        <w:rPr>
          <w:rFonts w:eastAsiaTheme="majorEastAsia"/>
          <w:color w:val="000000" w:themeColor="text1"/>
          <w:sz w:val="24"/>
          <w14:textFill>
            <w14:solidFill>
              <w14:schemeClr w14:val="tx1"/>
            </w14:solidFill>
          </w14:textFill>
        </w:rPr>
        <w:t>不确定度由计数的统计涨落引起</w:t>
      </w:r>
      <w:r>
        <w:rPr>
          <w:rFonts w:hint="eastAsia" w:eastAsiaTheme="majorEastAsia"/>
          <w:color w:val="000000" w:themeColor="text1"/>
          <w:sz w:val="24"/>
          <w14:textFill>
            <w14:solidFill>
              <w14:schemeClr w14:val="tx1"/>
            </w14:solidFill>
          </w14:textFill>
        </w:rPr>
        <w:t>，计数率服从泊松分布，</w:t>
      </w:r>
      <w:r>
        <w:rPr>
          <w:rFonts w:hint="eastAsia" w:eastAsiaTheme="majorEastAsia"/>
          <w:color w:val="000000" w:themeColor="text1"/>
          <w:sz w:val="24"/>
          <w:lang w:eastAsia="zh-CN"/>
          <w14:textFill>
            <w14:solidFill>
              <w14:schemeClr w14:val="tx1"/>
            </w14:solidFill>
          </w14:textFill>
        </w:rPr>
        <w:t>采用</w:t>
      </w:r>
      <w:r>
        <w:rPr>
          <w:rFonts w:eastAsiaTheme="majorEastAsia"/>
          <w:color w:val="000000" w:themeColor="text1"/>
          <w:sz w:val="24"/>
          <w14:textFill>
            <w14:solidFill>
              <w14:schemeClr w14:val="tx1"/>
            </w14:solidFill>
          </w14:textFill>
        </w:rPr>
        <w:t>B类方法</w:t>
      </w:r>
      <w:r>
        <w:rPr>
          <w:rFonts w:hint="eastAsia" w:eastAsiaTheme="majorEastAsia"/>
          <w:color w:val="000000" w:themeColor="text1"/>
          <w:sz w:val="24"/>
          <w:lang w:eastAsia="zh-CN"/>
          <w14:textFill>
            <w14:solidFill>
              <w14:schemeClr w14:val="tx1"/>
            </w14:solidFill>
          </w14:textFill>
        </w:rPr>
        <w:t>进行</w:t>
      </w:r>
      <w:r>
        <w:rPr>
          <w:rFonts w:eastAsiaTheme="majorEastAsia"/>
          <w:color w:val="000000" w:themeColor="text1"/>
          <w:sz w:val="24"/>
          <w14:textFill>
            <w14:solidFill>
              <w14:schemeClr w14:val="tx1"/>
            </w14:solidFill>
          </w14:textFill>
        </w:rPr>
        <w:t>评定。</w:t>
      </w:r>
      <w:r>
        <w:rPr>
          <w:rFonts w:hint="eastAsia" w:eastAsiaTheme="majorEastAsia"/>
          <w:color w:val="000000" w:themeColor="text1"/>
          <w:sz w:val="24"/>
          <w:lang w:eastAsia="zh-CN"/>
          <w14:textFill>
            <w14:solidFill>
              <w14:schemeClr w14:val="tx1"/>
            </w14:solidFill>
          </w14:textFill>
        </w:rPr>
        <w:t>参照</w:t>
      </w:r>
      <w:r>
        <w:rPr>
          <w:rFonts w:hint="eastAsia" w:eastAsiaTheme="majorEastAsia"/>
          <w:color w:val="000000" w:themeColor="text1"/>
          <w:sz w:val="24"/>
          <w:lang w:val="en-US" w:eastAsia="zh-CN"/>
          <w14:textFill>
            <w14:solidFill>
              <w14:schemeClr w14:val="tx1"/>
            </w14:solidFill>
          </w14:textFill>
        </w:rPr>
        <w:t>D.4.1节评定方法，</w:t>
      </w:r>
      <w:r>
        <w:rPr>
          <w:rFonts w:hint="eastAsia" w:eastAsiaTheme="majorEastAsia"/>
          <w:color w:val="000000" w:themeColor="text1"/>
          <w:sz w:val="24"/>
          <w:lang w:val="zh-CN"/>
          <w14:textFill>
            <w14:solidFill>
              <w14:schemeClr w14:val="tx1"/>
            </w14:solidFill>
          </w14:textFill>
        </w:rPr>
        <w:t>得到</w:t>
      </w:r>
      <w:r>
        <w:rPr>
          <w:rFonts w:hint="eastAsia" w:eastAsiaTheme="majorEastAsia"/>
          <w:color w:val="000000" w:themeColor="text1"/>
          <w:sz w:val="24"/>
          <w:lang w:eastAsia="zh-CN"/>
          <w14:textFill>
            <w14:solidFill>
              <w14:schemeClr w14:val="tx1"/>
            </w14:solidFill>
          </w14:textFill>
        </w:rPr>
        <w:t>本底</w:t>
      </w:r>
      <w:r>
        <w:rPr>
          <w:rFonts w:eastAsiaTheme="majorEastAsia"/>
          <w:color w:val="000000" w:themeColor="text1"/>
          <w:sz w:val="24"/>
          <w14:textFill>
            <w14:solidFill>
              <w14:schemeClr w14:val="tx1"/>
            </w14:solidFill>
          </w14:textFill>
        </w:rPr>
        <w:t>计数率</w:t>
      </w:r>
      <w:r>
        <w:rPr>
          <w:rFonts w:ascii="宋体" w:hAnsi="宋体"/>
          <w:kern w:val="0"/>
          <w:position w:val="-12"/>
        </w:rPr>
        <w:object>
          <v:shape id="_x0000_i1083" o:spt="75" type="#_x0000_t75" style="height:18.1pt;width:13.65pt;" o:ole="t" filled="f" o:preferrelative="t" stroked="f" coordsize="21600,21600">
            <v:path/>
            <v:fill on="f" focussize="0,0"/>
            <v:stroke on="f"/>
            <v:imagedata r:id="rId101" o:title=""/>
            <o:lock v:ext="edit" aspectratio="t"/>
            <w10:wrap type="none"/>
            <w10:anchorlock/>
          </v:shape>
          <o:OLEObject Type="Embed" ProgID="Equation.3" ShapeID="_x0000_i1083" DrawAspect="Content" ObjectID="_1468075784" r:id="rId129">
            <o:LockedField>false</o:LockedField>
          </o:OLEObject>
        </w:object>
      </w:r>
      <w:r>
        <w:rPr>
          <w:rFonts w:hint="eastAsia" w:eastAsiaTheme="majorEastAsia"/>
          <w:color w:val="000000" w:themeColor="text1"/>
          <w:sz w:val="24"/>
          <w:lang w:eastAsia="zh-CN"/>
          <w14:textFill>
            <w14:solidFill>
              <w14:schemeClr w14:val="tx1"/>
            </w14:solidFill>
          </w14:textFill>
        </w:rPr>
        <w:t>引入</w:t>
      </w:r>
      <w:r>
        <w:rPr>
          <w:rFonts w:eastAsiaTheme="majorEastAsia"/>
          <w:color w:val="000000" w:themeColor="text1"/>
          <w:sz w:val="24"/>
          <w14:textFill>
            <w14:solidFill>
              <w14:schemeClr w14:val="tx1"/>
            </w14:solidFill>
          </w14:textFill>
        </w:rPr>
        <w:t>的</w:t>
      </w:r>
      <w:r>
        <w:rPr>
          <w:rFonts w:hint="eastAsia" w:eastAsiaTheme="majorEastAsia"/>
          <w:color w:val="000000" w:themeColor="text1"/>
          <w:sz w:val="24"/>
          <w:lang w:eastAsia="zh-CN"/>
          <w14:textFill>
            <w14:solidFill>
              <w14:schemeClr w14:val="tx1"/>
            </w14:solidFill>
          </w14:textFill>
        </w:rPr>
        <w:t>标准</w:t>
      </w:r>
      <w:r>
        <w:rPr>
          <w:rFonts w:eastAsiaTheme="majorEastAsia"/>
          <w:color w:val="000000" w:themeColor="text1"/>
          <w:sz w:val="24"/>
          <w14:textFill>
            <w14:solidFill>
              <w14:schemeClr w14:val="tx1"/>
            </w14:solidFill>
          </w14:textFill>
        </w:rPr>
        <w:t>不确定度</w:t>
      </w:r>
      <w:r>
        <w:rPr>
          <w:rFonts w:eastAsiaTheme="majorEastAsia"/>
          <w:color w:val="000000" w:themeColor="text1"/>
          <w:kern w:val="0"/>
          <w:sz w:val="24"/>
          <w:lang w:val="zh-CN"/>
          <w14:textFill>
            <w14:solidFill>
              <w14:schemeClr w14:val="tx1"/>
            </w14:solidFill>
          </w14:textFill>
        </w:rPr>
        <w:t>：</w:t>
      </w:r>
    </w:p>
    <w:p w14:paraId="66FB227A">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eastAsiaTheme="majorEastAsia"/>
          <w:color w:val="000000" w:themeColor="text1"/>
          <w:kern w:val="0"/>
          <w:sz w:val="24"/>
          <w:lang w:val="zh-CN"/>
          <w14:textFill>
            <w14:solidFill>
              <w14:schemeClr w14:val="tx1"/>
            </w14:solidFill>
          </w14:textFill>
        </w:rPr>
      </w:pPr>
      <w:r>
        <w:rPr>
          <w:rFonts w:ascii="Times New Roman" w:hAnsi="Times New Roman" w:cs="Times New Roman"/>
          <w:position w:val="-24"/>
        </w:rPr>
        <w:object>
          <v:shape id="_x0000_i1084" o:spt="75" type="#_x0000_t75" style="height:35.5pt;width:188pt;" o:ole="t" filled="f" o:preferrelative="t" stroked="f" coordsize="21600,21600">
            <v:path/>
            <v:fill on="f" focussize="0,0"/>
            <v:stroke on="f"/>
            <v:imagedata r:id="rId131" o:title=""/>
            <o:lock v:ext="edit" aspectratio="t"/>
            <w10:wrap type="none"/>
            <w10:anchorlock/>
          </v:shape>
          <o:OLEObject Type="Embed" ProgID="Equation.DSMT4" ShapeID="_x0000_i1084" DrawAspect="Content" ObjectID="_1468075785" r:id="rId130">
            <o:LockedField>false</o:LockedField>
          </o:OLEObject>
        </w:object>
      </w:r>
    </w:p>
    <w:p w14:paraId="1846E020">
      <w:pPr>
        <w:keepNext w:val="0"/>
        <w:keepLines w:val="0"/>
        <w:pageBreakBefore w:val="0"/>
        <w:kinsoku/>
        <w:wordWrap/>
        <w:overflowPunct/>
        <w:topLinePunct w:val="0"/>
        <w:bidi w:val="0"/>
        <w:snapToGrid/>
        <w:spacing w:line="480" w:lineRule="exact"/>
        <w:ind w:left="0" w:leftChars="0" w:firstLine="0" w:firstLineChars="0"/>
        <w:textAlignment w:val="auto"/>
        <w:rPr>
          <w:rFonts w:ascii="Times New Roman" w:hAnsi="Times New Roman" w:eastAsia="宋体" w:cs="Times New Roman"/>
          <w:b w:val="0"/>
          <w:bCs/>
          <w:color w:val="000000"/>
          <w:sz w:val="24"/>
          <w:szCs w:val="24"/>
          <w:lang w:val="en-US" w:eastAsia="zh-CN" w:bidi="en-US"/>
        </w:rPr>
      </w:pPr>
      <w:r>
        <w:rPr>
          <w:rFonts w:hint="eastAsia" w:ascii="Times New Roman" w:hAnsi="Times New Roman" w:eastAsia="宋体" w:cs="Times New Roman"/>
          <w:b w:val="0"/>
          <w:bCs/>
          <w:color w:val="000000"/>
          <w:sz w:val="24"/>
          <w:szCs w:val="24"/>
          <w:lang w:val="en-US" w:eastAsia="zh-CN" w:bidi="en-US"/>
        </w:rPr>
        <w:t>D.</w:t>
      </w:r>
      <w:r>
        <w:rPr>
          <w:rFonts w:hint="eastAsia" w:cs="Times New Roman"/>
          <w:b w:val="0"/>
          <w:bCs/>
          <w:color w:val="000000"/>
          <w:sz w:val="24"/>
          <w:szCs w:val="24"/>
          <w:lang w:val="en-US" w:eastAsia="zh-CN" w:bidi="en-US"/>
        </w:rPr>
        <w:t>4.2</w:t>
      </w:r>
      <w:r>
        <w:rPr>
          <w:rFonts w:hint="eastAsia" w:ascii="宋体" w:hAnsi="宋体" w:eastAsia="宋体" w:cs="宋体"/>
          <w:b w:val="0"/>
          <w:bCs/>
          <w:color w:val="000000"/>
          <w:sz w:val="24"/>
          <w:szCs w:val="24"/>
          <w:lang w:val="en-US" w:eastAsia="zh-CN" w:bidi="en-US"/>
        </w:rPr>
        <w:t xml:space="preserve">  </w:t>
      </w:r>
      <w:r>
        <w:rPr>
          <w:rFonts w:hint="eastAsia" w:ascii="宋体" w:hAnsi="宋体" w:cs="宋体"/>
          <w:b w:val="0"/>
          <w:bCs/>
          <w:color w:val="000000"/>
          <w:sz w:val="24"/>
          <w:szCs w:val="24"/>
          <w:lang w:val="en-US" w:eastAsia="zh-CN" w:bidi="en-US"/>
        </w:rPr>
        <w:t>输入量</w:t>
      </w:r>
      <w:r>
        <w:rPr>
          <w:rFonts w:ascii="宋体" w:hAnsi="宋体"/>
          <w:kern w:val="0"/>
          <w:position w:val="-12"/>
        </w:rPr>
        <w:object>
          <v:shape id="_x0000_i1085" o:spt="75" type="#_x0000_t75" style="height:18.1pt;width:15pt;" o:ole="t" filled="f" o:preferrelative="t" stroked="f" coordsize="21600,21600">
            <v:path/>
            <v:fill on="f" focussize="0,0"/>
            <v:stroke on="f"/>
            <v:imagedata r:id="rId104" o:title=""/>
            <o:lock v:ext="edit" aspectratio="t"/>
            <w10:wrap type="none"/>
            <w10:anchorlock/>
          </v:shape>
          <o:OLEObject Type="Embed" ProgID="Equation.3" ShapeID="_x0000_i1085" DrawAspect="Content" ObjectID="_1468075786" r:id="rId132">
            <o:LockedField>false</o:LockedField>
          </o:OLEObject>
        </w:object>
      </w:r>
      <w:r>
        <w:rPr>
          <w:rFonts w:hint="eastAsia" w:ascii="宋体" w:hAnsi="宋体" w:cs="宋体"/>
          <w:b w:val="0"/>
          <w:bCs/>
          <w:color w:val="000000"/>
          <w:sz w:val="24"/>
          <w:szCs w:val="24"/>
          <w:lang w:val="en-US" w:eastAsia="zh-CN" w:bidi="en-US"/>
        </w:rPr>
        <w:t>的标准不确定度</w:t>
      </w:r>
    </w:p>
    <w:p w14:paraId="743BA639">
      <w:pPr>
        <w:pStyle w:val="7"/>
        <w:keepNext w:val="0"/>
        <w:keepLines w:val="0"/>
        <w:pageBreakBefore w:val="0"/>
        <w:kinsoku/>
        <w:wordWrap/>
        <w:overflowPunct/>
        <w:topLinePunct w:val="0"/>
        <w:autoSpaceDE/>
        <w:autoSpaceDN/>
        <w:bidi w:val="0"/>
        <w:snapToGrid/>
        <w:spacing w:line="480" w:lineRule="exact"/>
        <w:ind w:firstLine="480"/>
        <w:textAlignment w:val="auto"/>
        <w:rPr>
          <w:rFonts w:hint="eastAsia" w:eastAsiaTheme="majorEastAsia"/>
          <w:color w:val="000000" w:themeColor="text1"/>
          <w:sz w:val="24"/>
          <w:lang w:eastAsia="zh-CN"/>
          <w14:textFill>
            <w14:solidFill>
              <w14:schemeClr w14:val="tx1"/>
            </w14:solidFill>
          </w14:textFill>
        </w:rPr>
      </w:pPr>
      <w:r>
        <w:rPr>
          <w:rFonts w:hint="eastAsia"/>
          <w:kern w:val="0"/>
          <w:lang w:val="en-US" w:eastAsia="zh-CN"/>
        </w:rPr>
        <w:t>标准</w:t>
      </w:r>
      <w:r>
        <w:rPr>
          <w:rFonts w:hint="eastAsia"/>
          <w:kern w:val="0"/>
          <w:lang w:eastAsia="zh-CN"/>
        </w:rPr>
        <w:t>溶液中</w:t>
      </w:r>
      <w:r>
        <w:rPr>
          <w:rFonts w:hint="eastAsia"/>
          <w:color w:val="auto"/>
          <w:kern w:val="0"/>
          <w:vertAlign w:val="superscript"/>
          <w:lang w:val="en-US" w:eastAsia="zh-CN"/>
        </w:rPr>
        <w:t>131</w:t>
      </w:r>
      <w:r>
        <w:rPr>
          <w:rFonts w:hint="eastAsia"/>
          <w:color w:val="auto"/>
          <w:kern w:val="0"/>
          <w:lang w:val="en-US" w:eastAsia="zh-CN"/>
        </w:rPr>
        <w:t>I</w:t>
      </w:r>
      <w:r>
        <w:rPr>
          <w:rFonts w:hint="eastAsia"/>
          <w:kern w:val="0"/>
          <w:lang w:val="en-US" w:eastAsia="zh-CN"/>
        </w:rPr>
        <w:t>核素的活度值</w:t>
      </w:r>
      <w:r>
        <w:rPr>
          <w:rFonts w:ascii="宋体" w:hAnsi="宋体"/>
          <w:kern w:val="0"/>
          <w:position w:val="-12"/>
        </w:rPr>
        <w:object>
          <v:shape id="_x0000_i1086" o:spt="75" type="#_x0000_t75" style="height:18.1pt;width:15pt;" o:ole="t" filled="f" o:preferrelative="t" stroked="f" coordsize="21600,21600">
            <v:path/>
            <v:fill on="f" focussize="0,0"/>
            <v:stroke on="f"/>
            <v:imagedata r:id="rId104" o:title=""/>
            <o:lock v:ext="edit" aspectratio="t"/>
            <w10:wrap type="none"/>
            <w10:anchorlock/>
          </v:shape>
          <o:OLEObject Type="Embed" ProgID="Equation.3" ShapeID="_x0000_i1086" DrawAspect="Content" ObjectID="_1468075787" r:id="rId133">
            <o:LockedField>false</o:LockedField>
          </o:OLEObject>
        </w:object>
      </w:r>
      <w:r>
        <w:rPr>
          <w:rFonts w:hint="eastAsia"/>
          <w:kern w:val="0"/>
          <w:lang w:val="en-US" w:eastAsia="zh-CN"/>
        </w:rPr>
        <w:t>引入的不确定度根据溯源证书给出的不确定度来评定，采用</w:t>
      </w:r>
      <w:r>
        <w:rPr>
          <w:rFonts w:eastAsiaTheme="majorEastAsia"/>
          <w:color w:val="000000" w:themeColor="text1"/>
          <w:sz w:val="24"/>
          <w14:textFill>
            <w14:solidFill>
              <w14:schemeClr w14:val="tx1"/>
            </w14:solidFill>
          </w14:textFill>
        </w:rPr>
        <w:t>B类方法</w:t>
      </w:r>
      <w:r>
        <w:rPr>
          <w:rFonts w:hint="eastAsia" w:eastAsiaTheme="majorEastAsia"/>
          <w:color w:val="000000" w:themeColor="text1"/>
          <w:sz w:val="24"/>
          <w:lang w:eastAsia="zh-CN"/>
          <w14:textFill>
            <w14:solidFill>
              <w14:schemeClr w14:val="tx1"/>
            </w14:solidFill>
          </w14:textFill>
        </w:rPr>
        <w:t>进行</w:t>
      </w:r>
      <w:r>
        <w:rPr>
          <w:rFonts w:eastAsiaTheme="majorEastAsia"/>
          <w:color w:val="000000" w:themeColor="text1"/>
          <w:sz w:val="24"/>
          <w14:textFill>
            <w14:solidFill>
              <w14:schemeClr w14:val="tx1"/>
            </w14:solidFill>
          </w14:textFill>
        </w:rPr>
        <w:t>评定</w:t>
      </w:r>
      <w:r>
        <w:rPr>
          <w:rFonts w:hint="eastAsia" w:eastAsiaTheme="majorEastAsia"/>
          <w:color w:val="000000" w:themeColor="text1"/>
          <w:sz w:val="24"/>
          <w:lang w:eastAsia="zh-CN"/>
          <w14:textFill>
            <w14:solidFill>
              <w14:schemeClr w14:val="tx1"/>
            </w14:solidFill>
          </w14:textFill>
        </w:rPr>
        <w:t>，则有：</w:t>
      </w:r>
    </w:p>
    <w:p w14:paraId="1FBA5B35">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Theme="majorEastAsia"/>
          <w:color w:val="000000" w:themeColor="text1"/>
          <w:sz w:val="24"/>
          <w:lang w:val="en-US" w:eastAsia="zh-CN"/>
          <w14:textFill>
            <w14:solidFill>
              <w14:schemeClr w14:val="tx1"/>
            </w14:solidFill>
          </w14:textFill>
        </w:rPr>
      </w:pPr>
      <w:r>
        <w:rPr>
          <w:rFonts w:ascii="Times New Roman" w:hAnsi="Times New Roman" w:cs="Times New Roman"/>
          <w:position w:val="-24"/>
        </w:rPr>
        <w:object>
          <v:shape id="_x0000_i1087" o:spt="75" type="#_x0000_t75" style="height:31.45pt;width:239pt;" o:ole="t" filled="f" o:preferrelative="t" stroked="f" coordsize="21600,21600">
            <v:path/>
            <v:fill on="f" focussize="0,0"/>
            <v:stroke on="f"/>
            <v:imagedata r:id="rId135" o:title=""/>
            <o:lock v:ext="edit" aspectratio="t"/>
            <w10:wrap type="none"/>
            <w10:anchorlock/>
          </v:shape>
          <o:OLEObject Type="Embed" ProgID="Equation.DSMT4" ShapeID="_x0000_i1087" DrawAspect="Content" ObjectID="_1468075788" r:id="rId134">
            <o:LockedField>false</o:LockedField>
          </o:OLEObject>
        </w:object>
      </w:r>
    </w:p>
    <w:p w14:paraId="46AD6675">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lang w:eastAsia="zh-CN"/>
        </w:rPr>
      </w:pPr>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w:t>
      </w:r>
      <w:r>
        <w:rPr>
          <w:rFonts w:hint="eastAsia" w:ascii="黑体" w:hAnsi="黑体" w:eastAsia="黑体" w:cs="黑体"/>
          <w:strike w:val="0"/>
          <w:dstrike w:val="0"/>
          <w:kern w:val="0"/>
          <w:lang w:val="en-US" w:eastAsia="zh-CN"/>
        </w:rPr>
        <w:t>5</w:t>
      </w:r>
      <w:r>
        <w:rPr>
          <w:rFonts w:hint="eastAsia" w:ascii="黑体" w:hAnsi="黑体" w:eastAsia="黑体" w:cs="黑体"/>
          <w:strike w:val="0"/>
          <w:dstrike w:val="0"/>
          <w:kern w:val="0"/>
        </w:rPr>
        <w:t xml:space="preserve">  </w:t>
      </w:r>
      <w:r>
        <w:rPr>
          <w:rFonts w:hint="eastAsia" w:ascii="黑体" w:hAnsi="黑体" w:eastAsia="黑体" w:cs="黑体"/>
          <w:strike w:val="0"/>
          <w:dstrike w:val="0"/>
          <w:kern w:val="0"/>
          <w:lang w:eastAsia="zh-CN"/>
        </w:rPr>
        <w:t>标准不确定度分量汇总表</w:t>
      </w:r>
    </w:p>
    <w:p w14:paraId="36C5FF72">
      <w:pPr>
        <w:pStyle w:val="7"/>
        <w:keepNext w:val="0"/>
        <w:keepLines w:val="0"/>
        <w:pageBreakBefore w:val="0"/>
        <w:kinsoku/>
        <w:wordWrap/>
        <w:overflowPunct/>
        <w:topLinePunct w:val="0"/>
        <w:autoSpaceDE/>
        <w:autoSpaceDN/>
        <w:bidi w:val="0"/>
        <w:snapToGrid/>
        <w:spacing w:line="480" w:lineRule="exact"/>
        <w:ind w:firstLine="480"/>
        <w:textAlignment w:val="auto"/>
        <w:rPr>
          <w:rFonts w:hint="eastAsia"/>
          <w:kern w:val="0"/>
          <w:lang w:val="en-US" w:eastAsia="zh-CN"/>
        </w:rPr>
      </w:pPr>
      <w:r>
        <w:rPr>
          <w:rFonts w:hint="eastAsia"/>
          <w:kern w:val="0"/>
          <w:lang w:val="en-US" w:eastAsia="zh-CN"/>
        </w:rPr>
        <w:t>标准不确定度分量汇总表见表D.1。</w:t>
      </w:r>
    </w:p>
    <w:p w14:paraId="77E53A2E">
      <w:pPr>
        <w:pStyle w:val="7"/>
        <w:keepNext w:val="0"/>
        <w:keepLines w:val="0"/>
        <w:pageBreakBefore w:val="0"/>
        <w:kinsoku/>
        <w:wordWrap/>
        <w:overflowPunct/>
        <w:topLinePunct w:val="0"/>
        <w:autoSpaceDE/>
        <w:autoSpaceDN/>
        <w:bidi w:val="0"/>
        <w:snapToGrid/>
        <w:spacing w:line="480" w:lineRule="exact"/>
        <w:ind w:left="0" w:leftChars="0" w:firstLine="0" w:firstLineChars="0"/>
        <w:jc w:val="center"/>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表D.1  标准不确定度分量汇总表</w:t>
      </w:r>
    </w:p>
    <w:tbl>
      <w:tblPr>
        <w:tblStyle w:val="19"/>
        <w:tblW w:w="4997"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683"/>
        <w:gridCol w:w="1509"/>
        <w:gridCol w:w="1586"/>
        <w:gridCol w:w="1736"/>
        <w:gridCol w:w="1634"/>
        <w:gridCol w:w="1795"/>
      </w:tblGrid>
      <w:tr w14:paraId="1BC93C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382" w:type="pct"/>
            <w:tcBorders>
              <w:top w:val="single" w:color="auto" w:sz="12" w:space="0"/>
              <w:left w:val="single" w:color="auto" w:sz="4" w:space="0"/>
              <w:bottom w:val="single" w:color="000000" w:sz="6" w:space="0"/>
              <w:right w:val="single" w:color="000000" w:sz="6" w:space="0"/>
            </w:tcBorders>
            <w:vAlign w:val="center"/>
          </w:tcPr>
          <w:p w14:paraId="6FBC2CD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sz w:val="21"/>
                <w:szCs w:val="21"/>
                <w:lang w:eastAsia="zh-CN"/>
              </w:rPr>
            </w:pPr>
            <w:r>
              <w:rPr>
                <w:rFonts w:hint="eastAsia"/>
                <w:sz w:val="21"/>
                <w:szCs w:val="21"/>
                <w:lang w:eastAsia="zh-CN"/>
              </w:rPr>
              <w:t>序号</w:t>
            </w:r>
          </w:p>
        </w:tc>
        <w:tc>
          <w:tcPr>
            <w:tcW w:w="843" w:type="pct"/>
            <w:tcBorders>
              <w:top w:val="single" w:color="auto" w:sz="12" w:space="0"/>
              <w:left w:val="single" w:color="auto" w:sz="4" w:space="0"/>
              <w:bottom w:val="single" w:color="000000" w:sz="6" w:space="0"/>
              <w:right w:val="single" w:color="000000" w:sz="6" w:space="0"/>
            </w:tcBorders>
            <w:vAlign w:val="center"/>
          </w:tcPr>
          <w:p w14:paraId="403329C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标准不确定度</w:t>
            </w:r>
            <w:r>
              <w:rPr>
                <w:rFonts w:ascii="Times New Roman" w:hAnsi="Times New Roman" w:cs="Times New Roman"/>
                <w:position w:val="-12"/>
                <w:sz w:val="21"/>
                <w:szCs w:val="21"/>
              </w:rPr>
              <w:object>
                <v:shape id="_x0000_i1088" o:spt="75" type="#_x0000_t75" style="height:14.15pt;width:21.05pt;" o:ole="t" filled="f" o:preferrelative="t" stroked="f" coordsize="21600,21600">
                  <v:path/>
                  <v:fill on="f" focussize="0,0"/>
                  <v:stroke on="f"/>
                  <v:imagedata r:id="rId137" o:title=""/>
                  <o:lock v:ext="edit" aspectratio="t"/>
                  <w10:wrap type="none"/>
                  <w10:anchorlock/>
                </v:shape>
                <o:OLEObject Type="Embed" ProgID="Equation.DSMT4" ShapeID="_x0000_i1088" DrawAspect="Content" ObjectID="_1468075789" r:id="rId136">
                  <o:LockedField>false</o:LockedField>
                </o:OLEObject>
              </w:object>
            </w:r>
          </w:p>
        </w:tc>
        <w:tc>
          <w:tcPr>
            <w:tcW w:w="886" w:type="pct"/>
            <w:tcBorders>
              <w:top w:val="single" w:color="auto" w:sz="12" w:space="0"/>
              <w:left w:val="single" w:color="000000" w:sz="6" w:space="0"/>
              <w:bottom w:val="single" w:color="auto" w:sz="4" w:space="0"/>
              <w:right w:val="single" w:color="000000" w:sz="6" w:space="0"/>
            </w:tcBorders>
            <w:vAlign w:val="center"/>
          </w:tcPr>
          <w:p w14:paraId="2728EF7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不确定度来源</w:t>
            </w:r>
          </w:p>
        </w:tc>
        <w:tc>
          <w:tcPr>
            <w:tcW w:w="970" w:type="pct"/>
            <w:tcBorders>
              <w:top w:val="single" w:color="auto" w:sz="12" w:space="0"/>
              <w:left w:val="single" w:color="000000" w:sz="6" w:space="0"/>
              <w:bottom w:val="single" w:color="auto" w:sz="4" w:space="0"/>
              <w:right w:val="single" w:color="000000" w:sz="6" w:space="0"/>
            </w:tcBorders>
            <w:vAlign w:val="center"/>
          </w:tcPr>
          <w:p w14:paraId="03B7A79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标准不确定度值</w:t>
            </w:r>
          </w:p>
        </w:tc>
        <w:tc>
          <w:tcPr>
            <w:tcW w:w="913" w:type="pct"/>
            <w:tcBorders>
              <w:top w:val="single" w:color="auto" w:sz="12" w:space="0"/>
              <w:left w:val="single" w:color="000000" w:sz="6" w:space="0"/>
              <w:bottom w:val="single" w:color="000000" w:sz="6" w:space="0"/>
              <w:right w:val="single" w:color="000000" w:sz="6" w:space="0"/>
            </w:tcBorders>
            <w:vAlign w:val="center"/>
          </w:tcPr>
          <w:p w14:paraId="5ED6740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灵敏系数</w:t>
            </w:r>
            <w:r>
              <w:rPr>
                <w:rFonts w:ascii="Times New Roman" w:hAnsi="Times New Roman" w:cs="Times New Roman"/>
                <w:position w:val="-12"/>
                <w:sz w:val="21"/>
                <w:szCs w:val="21"/>
              </w:rPr>
              <w:object>
                <v:shape id="_x0000_i1089" o:spt="75" type="#_x0000_t75" style="height:14.15pt;width:20.25pt;" o:ole="t" filled="f" o:preferrelative="t" stroked="f" coordsize="21600,21600">
                  <v:path/>
                  <v:fill on="f" focussize="0,0"/>
                  <v:stroke on="f"/>
                  <v:imagedata r:id="rId139" o:title=""/>
                  <o:lock v:ext="edit" aspectratio="t"/>
                  <w10:wrap type="none"/>
                  <w10:anchorlock/>
                </v:shape>
                <o:OLEObject Type="Embed" ProgID="Equation.DSMT4" ShapeID="_x0000_i1089" DrawAspect="Content" ObjectID="_1468075790" r:id="rId138">
                  <o:LockedField>false</o:LockedField>
                </o:OLEObject>
              </w:object>
            </w:r>
          </w:p>
        </w:tc>
        <w:tc>
          <w:tcPr>
            <w:tcW w:w="1003" w:type="pct"/>
            <w:tcBorders>
              <w:top w:val="single" w:color="auto" w:sz="12" w:space="0"/>
              <w:left w:val="single" w:color="000000" w:sz="6" w:space="0"/>
              <w:bottom w:val="single" w:color="000000" w:sz="6" w:space="0"/>
              <w:right w:val="single" w:color="000000" w:sz="6" w:space="0"/>
            </w:tcBorders>
            <w:vAlign w:val="center"/>
          </w:tcPr>
          <w:p w14:paraId="5E1B3F6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eastAsia="zh-CN"/>
              </w:rPr>
              <w:t>标准不确定度分量</w:t>
            </w:r>
            <w:r>
              <w:rPr>
                <w:rFonts w:ascii="Times New Roman" w:hAnsi="Times New Roman" w:cs="Times New Roman"/>
                <w:position w:val="-14"/>
                <w:sz w:val="21"/>
                <w:szCs w:val="21"/>
              </w:rPr>
              <w:object>
                <v:shape id="_x0000_i1090" o:spt="75" type="#_x0000_t75" style="height:14.15pt;width:21pt;" o:ole="t" filled="f" o:preferrelative="t" stroked="f" coordsize="21600,21600">
                  <v:path/>
                  <v:fill on="f" focussize="0,0"/>
                  <v:stroke on="f"/>
                  <v:imagedata r:id="rId141" o:title=""/>
                  <o:lock v:ext="edit" aspectratio="t"/>
                  <w10:wrap type="none"/>
                  <w10:anchorlock/>
                </v:shape>
                <o:OLEObject Type="Embed" ProgID="Equation.DSMT4" ShapeID="_x0000_i1090" DrawAspect="Content" ObjectID="_1468075791" r:id="rId140">
                  <o:LockedField>false</o:LockedField>
                </o:OLEObject>
              </w:object>
            </w:r>
            <w:r>
              <w:rPr>
                <w:rFonts w:ascii="Times New Roman" w:hAnsi="Times New Roman" w:cs="Times New Roman"/>
                <w:position w:val="-12"/>
                <w:sz w:val="21"/>
                <w:szCs w:val="21"/>
              </w:rPr>
              <w:object>
                <v:shape id="_x0000_i1091" o:spt="75" type="#_x0000_t75" style="height:14.15pt;width:20.25pt;" o:ole="t" filled="f" o:preferrelative="t" stroked="f" coordsize="21600,21600">
                  <v:path/>
                  <v:fill on="f" focussize="0,0"/>
                  <v:stroke on="f"/>
                  <v:imagedata r:id="rId143" o:title=""/>
                  <o:lock v:ext="edit" aspectratio="t"/>
                  <w10:wrap type="none"/>
                  <w10:anchorlock/>
                </v:shape>
                <o:OLEObject Type="Embed" ProgID="Equation.DSMT4" ShapeID="_x0000_i1091" DrawAspect="Content" ObjectID="_1468075792" r:id="rId142">
                  <o:LockedField>false</o:LockedField>
                </o:OLEObject>
              </w:object>
            </w:r>
          </w:p>
          <w:p w14:paraId="0A84964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w:t>
            </w:r>
            <w:r>
              <w:rPr>
                <w:rFonts w:hint="eastAsia"/>
                <w:sz w:val="21"/>
                <w:szCs w:val="21"/>
              </w:rPr>
              <w:t>s</w:t>
            </w:r>
            <w:r>
              <w:rPr>
                <w:rFonts w:hint="eastAsia"/>
                <w:sz w:val="21"/>
                <w:szCs w:val="21"/>
                <w:vertAlign w:val="superscript"/>
              </w:rPr>
              <w:t>-1</w:t>
            </w:r>
            <w:r>
              <w:rPr>
                <w:sz w:val="21"/>
                <w:szCs w:val="21"/>
              </w:rPr>
              <w:t>·Bq</w:t>
            </w:r>
            <w:r>
              <w:rPr>
                <w:sz w:val="21"/>
                <w:szCs w:val="21"/>
                <w:vertAlign w:val="superscript"/>
              </w:rPr>
              <w:t>-1</w:t>
            </w:r>
          </w:p>
        </w:tc>
      </w:tr>
      <w:tr w14:paraId="1617A8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382" w:type="pct"/>
            <w:tcBorders>
              <w:top w:val="single" w:color="000000" w:sz="6" w:space="0"/>
              <w:left w:val="single" w:color="auto" w:sz="4" w:space="0"/>
              <w:bottom w:val="dotted" w:color="auto" w:sz="4" w:space="0"/>
              <w:right w:val="single" w:color="000000" w:sz="6" w:space="0"/>
            </w:tcBorders>
            <w:vAlign w:val="center"/>
          </w:tcPr>
          <w:p w14:paraId="7C5FFFC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sz w:val="21"/>
                <w:szCs w:val="21"/>
                <w:lang w:val="en-US" w:eastAsia="zh-CN"/>
              </w:rPr>
            </w:pPr>
            <w:r>
              <w:rPr>
                <w:rFonts w:hint="eastAsia"/>
                <w:sz w:val="21"/>
                <w:szCs w:val="21"/>
                <w:lang w:val="en-US" w:eastAsia="zh-CN"/>
              </w:rPr>
              <w:t>1</w:t>
            </w:r>
          </w:p>
        </w:tc>
        <w:tc>
          <w:tcPr>
            <w:tcW w:w="843" w:type="pct"/>
            <w:tcBorders>
              <w:top w:val="single" w:color="000000" w:sz="6" w:space="0"/>
              <w:left w:val="single" w:color="auto" w:sz="4" w:space="0"/>
              <w:bottom w:val="dotted" w:color="auto" w:sz="4" w:space="0"/>
              <w:right w:val="single" w:color="000000" w:sz="6" w:space="0"/>
            </w:tcBorders>
            <w:vAlign w:val="center"/>
          </w:tcPr>
          <w:p w14:paraId="30D9CEE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ascii="Times New Roman" w:hAnsi="Times New Roman" w:cs="Times New Roman"/>
                <w:position w:val="-6"/>
                <w:sz w:val="21"/>
                <w:szCs w:val="21"/>
              </w:rPr>
              <w:object>
                <v:shape id="_x0000_i1092" o:spt="75" type="#_x0000_t75" style="height:12.7pt;width:17.65pt;" o:ole="t" filled="f" o:preferrelative="t" stroked="f" coordsize="21600,21600">
                  <v:path/>
                  <v:fill on="f" focussize="0,0"/>
                  <v:stroke on="f"/>
                  <v:imagedata r:id="rId145" o:title=""/>
                  <o:lock v:ext="edit" aspectratio="t"/>
                  <w10:wrap type="none"/>
                  <w10:anchorlock/>
                </v:shape>
                <o:OLEObject Type="Embed" ProgID="Equation.DSMT4" ShapeID="_x0000_i1092" DrawAspect="Content" ObjectID="_1468075793" r:id="rId144">
                  <o:LockedField>false</o:LockedField>
                </o:OLEObject>
              </w:object>
            </w:r>
          </w:p>
        </w:tc>
        <w:tc>
          <w:tcPr>
            <w:tcW w:w="886" w:type="pct"/>
            <w:tcBorders>
              <w:top w:val="single" w:color="auto" w:sz="4" w:space="0"/>
              <w:left w:val="single" w:color="000000" w:sz="6" w:space="0"/>
              <w:bottom w:val="dotted" w:color="auto" w:sz="4" w:space="0"/>
              <w:right w:val="single" w:color="000000" w:sz="6" w:space="0"/>
            </w:tcBorders>
            <w:vAlign w:val="center"/>
          </w:tcPr>
          <w:p w14:paraId="15615ED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全能锋计数率</w:t>
            </w:r>
          </w:p>
        </w:tc>
        <w:tc>
          <w:tcPr>
            <w:tcW w:w="970" w:type="pct"/>
            <w:tcBorders>
              <w:top w:val="dotted" w:color="auto" w:sz="4" w:space="0"/>
              <w:left w:val="single" w:color="000000" w:sz="6" w:space="0"/>
              <w:bottom w:val="dotted" w:color="auto" w:sz="4" w:space="0"/>
              <w:right w:val="single" w:color="000000" w:sz="6" w:space="0"/>
            </w:tcBorders>
            <w:vAlign w:val="center"/>
          </w:tcPr>
          <w:p w14:paraId="6A02EA9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0.267</w:t>
            </w:r>
            <w:r>
              <w:rPr>
                <w:sz w:val="21"/>
                <w:szCs w:val="21"/>
              </w:rPr>
              <w:t xml:space="preserve"> s</w:t>
            </w:r>
            <w:r>
              <w:rPr>
                <w:sz w:val="21"/>
                <w:szCs w:val="21"/>
                <w:vertAlign w:val="superscript"/>
              </w:rPr>
              <w:t>-1</w:t>
            </w:r>
          </w:p>
        </w:tc>
        <w:tc>
          <w:tcPr>
            <w:tcW w:w="913" w:type="pct"/>
            <w:tcBorders>
              <w:top w:val="single" w:color="000000" w:sz="6" w:space="0"/>
              <w:left w:val="single" w:color="000000" w:sz="6" w:space="0"/>
              <w:bottom w:val="dotted" w:color="auto" w:sz="4" w:space="0"/>
              <w:right w:val="single" w:color="000000" w:sz="6" w:space="0"/>
            </w:tcBorders>
            <w:vAlign w:val="center"/>
          </w:tcPr>
          <w:p w14:paraId="218B526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0.0002</w:t>
            </w:r>
            <w:r>
              <w:rPr>
                <w:rFonts w:hint="eastAsia"/>
                <w:sz w:val="21"/>
                <w:szCs w:val="21"/>
                <w:lang w:val="en-US" w:eastAsia="zh-CN"/>
              </w:rPr>
              <w:t>7</w:t>
            </w:r>
            <w:r>
              <w:rPr>
                <w:sz w:val="21"/>
                <w:szCs w:val="21"/>
              </w:rPr>
              <w:t xml:space="preserve"> Bq</w:t>
            </w:r>
            <w:r>
              <w:rPr>
                <w:sz w:val="21"/>
                <w:szCs w:val="21"/>
                <w:vertAlign w:val="superscript"/>
              </w:rPr>
              <w:t>-1</w:t>
            </w:r>
            <w:r>
              <w:rPr>
                <w:sz w:val="21"/>
                <w:szCs w:val="21"/>
              </w:rPr>
              <w:t>-</w:t>
            </w:r>
          </w:p>
        </w:tc>
        <w:tc>
          <w:tcPr>
            <w:tcW w:w="1003" w:type="pct"/>
            <w:tcBorders>
              <w:top w:val="single" w:color="000000" w:sz="6" w:space="0"/>
              <w:left w:val="single" w:color="000000" w:sz="6" w:space="0"/>
              <w:bottom w:val="dotted" w:color="auto" w:sz="4" w:space="0"/>
              <w:right w:val="single" w:color="000000" w:sz="6" w:space="0"/>
            </w:tcBorders>
            <w:vAlign w:val="center"/>
          </w:tcPr>
          <w:p w14:paraId="303D18C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7.21</w:t>
            </w:r>
            <w:r>
              <w:rPr>
                <w:rFonts w:hint="eastAsia" w:ascii="宋体" w:hAnsi="宋体" w:eastAsia="宋体" w:cs="宋体"/>
                <w:sz w:val="21"/>
                <w:szCs w:val="21"/>
                <w:lang w:val="en-US" w:eastAsia="zh-CN"/>
              </w:rPr>
              <w:t>×</w:t>
            </w:r>
            <w:r>
              <w:rPr>
                <w:rFonts w:hint="eastAsia"/>
                <w:sz w:val="21"/>
                <w:szCs w:val="21"/>
                <w:lang w:val="en-US" w:eastAsia="zh-CN"/>
              </w:rPr>
              <w:t>10</w:t>
            </w:r>
            <w:r>
              <w:rPr>
                <w:rFonts w:hint="eastAsia"/>
                <w:sz w:val="21"/>
                <w:szCs w:val="21"/>
                <w:vertAlign w:val="superscript"/>
                <w:lang w:val="en-US" w:eastAsia="zh-CN"/>
              </w:rPr>
              <w:t>-5</w:t>
            </w:r>
          </w:p>
        </w:tc>
      </w:tr>
      <w:tr w14:paraId="32D2AC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382" w:type="pct"/>
            <w:tcBorders>
              <w:top w:val="single" w:color="000000" w:sz="6" w:space="0"/>
              <w:left w:val="single" w:color="auto" w:sz="4" w:space="0"/>
              <w:bottom w:val="single" w:color="000000" w:sz="6" w:space="0"/>
              <w:right w:val="single" w:color="000000" w:sz="6" w:space="0"/>
            </w:tcBorders>
            <w:vAlign w:val="center"/>
          </w:tcPr>
          <w:p w14:paraId="3106112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sz w:val="21"/>
                <w:szCs w:val="21"/>
                <w:lang w:val="en-US" w:eastAsia="zh-CN"/>
              </w:rPr>
            </w:pPr>
            <w:r>
              <w:rPr>
                <w:rFonts w:hint="eastAsia"/>
                <w:sz w:val="21"/>
                <w:szCs w:val="21"/>
                <w:lang w:val="en-US" w:eastAsia="zh-CN"/>
              </w:rPr>
              <w:t>2</w:t>
            </w:r>
          </w:p>
        </w:tc>
        <w:tc>
          <w:tcPr>
            <w:tcW w:w="843" w:type="pct"/>
            <w:tcBorders>
              <w:top w:val="single" w:color="000000" w:sz="6" w:space="0"/>
              <w:left w:val="single" w:color="auto" w:sz="4" w:space="0"/>
              <w:bottom w:val="single" w:color="000000" w:sz="6" w:space="0"/>
              <w:right w:val="single" w:color="000000" w:sz="6" w:space="0"/>
            </w:tcBorders>
            <w:vAlign w:val="center"/>
          </w:tcPr>
          <w:p w14:paraId="7BA36D3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ascii="Times New Roman" w:hAnsi="Times New Roman" w:cs="Times New Roman"/>
                <w:position w:val="-12"/>
                <w:sz w:val="21"/>
                <w:szCs w:val="21"/>
              </w:rPr>
              <w:object>
                <v:shape id="_x0000_i1093" o:spt="75" type="#_x0000_t75" style="height:14.15pt;width:22.45pt;" o:ole="t" filled="f" o:preferrelative="t" stroked="f" coordsize="21600,21600">
                  <v:path/>
                  <v:fill on="f" focussize="0,0"/>
                  <v:stroke on="f"/>
                  <v:imagedata r:id="rId147" o:title=""/>
                  <o:lock v:ext="edit" aspectratio="t"/>
                  <w10:wrap type="none"/>
                  <w10:anchorlock/>
                </v:shape>
                <o:OLEObject Type="Embed" ProgID="Equation.DSMT4" ShapeID="_x0000_i1093" DrawAspect="Content" ObjectID="_1468075794" r:id="rId146">
                  <o:LockedField>false</o:LockedField>
                </o:OLEObject>
              </w:object>
            </w:r>
          </w:p>
        </w:tc>
        <w:tc>
          <w:tcPr>
            <w:tcW w:w="886" w:type="pct"/>
            <w:tcBorders>
              <w:top w:val="single" w:color="000000" w:sz="6" w:space="0"/>
              <w:left w:val="single" w:color="000000" w:sz="6" w:space="0"/>
              <w:bottom w:val="single" w:color="000000" w:sz="6" w:space="0"/>
              <w:right w:val="single" w:color="000000" w:sz="6" w:space="0"/>
            </w:tcBorders>
            <w:vAlign w:val="center"/>
          </w:tcPr>
          <w:p w14:paraId="4AB98E5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本底计数率</w:t>
            </w:r>
          </w:p>
        </w:tc>
        <w:tc>
          <w:tcPr>
            <w:tcW w:w="970" w:type="pct"/>
            <w:tcBorders>
              <w:top w:val="single" w:color="000000" w:sz="6" w:space="0"/>
              <w:left w:val="single" w:color="000000" w:sz="6" w:space="0"/>
              <w:bottom w:val="single" w:color="000000" w:sz="6" w:space="0"/>
              <w:right w:val="single" w:color="000000" w:sz="6" w:space="0"/>
            </w:tcBorders>
            <w:vAlign w:val="center"/>
          </w:tcPr>
          <w:p w14:paraId="30D97F1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0.141</w:t>
            </w:r>
            <w:r>
              <w:rPr>
                <w:sz w:val="21"/>
                <w:szCs w:val="21"/>
              </w:rPr>
              <w:t xml:space="preserve"> s</w:t>
            </w:r>
            <w:r>
              <w:rPr>
                <w:sz w:val="21"/>
                <w:szCs w:val="21"/>
                <w:vertAlign w:val="superscript"/>
              </w:rPr>
              <w:t>-1</w:t>
            </w:r>
          </w:p>
        </w:tc>
        <w:tc>
          <w:tcPr>
            <w:tcW w:w="913" w:type="pct"/>
            <w:tcBorders>
              <w:top w:val="single" w:color="000000" w:sz="6" w:space="0"/>
              <w:left w:val="single" w:color="000000" w:sz="6" w:space="0"/>
              <w:bottom w:val="single" w:color="000000" w:sz="6" w:space="0"/>
              <w:right w:val="single" w:color="000000" w:sz="6" w:space="0"/>
            </w:tcBorders>
            <w:vAlign w:val="center"/>
          </w:tcPr>
          <w:p w14:paraId="5A2B682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-0.0002</w:t>
            </w:r>
            <w:r>
              <w:rPr>
                <w:rFonts w:hint="eastAsia"/>
                <w:sz w:val="21"/>
                <w:szCs w:val="21"/>
                <w:lang w:val="en-US" w:eastAsia="zh-CN"/>
              </w:rPr>
              <w:t>7</w:t>
            </w:r>
            <w:r>
              <w:rPr>
                <w:sz w:val="21"/>
                <w:szCs w:val="21"/>
              </w:rPr>
              <w:t xml:space="preserve"> Bq</w:t>
            </w:r>
            <w:r>
              <w:rPr>
                <w:sz w:val="21"/>
                <w:szCs w:val="21"/>
                <w:vertAlign w:val="superscript"/>
              </w:rPr>
              <w:t>-1</w:t>
            </w:r>
          </w:p>
        </w:tc>
        <w:tc>
          <w:tcPr>
            <w:tcW w:w="1003" w:type="pct"/>
            <w:tcBorders>
              <w:top w:val="single" w:color="000000" w:sz="6" w:space="0"/>
              <w:left w:val="single" w:color="000000" w:sz="6" w:space="0"/>
              <w:bottom w:val="single" w:color="000000" w:sz="6" w:space="0"/>
              <w:right w:val="single" w:color="000000" w:sz="6" w:space="0"/>
            </w:tcBorders>
            <w:vAlign w:val="center"/>
          </w:tcPr>
          <w:p w14:paraId="7E5B77F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3.81</w:t>
            </w:r>
            <w:r>
              <w:rPr>
                <w:rFonts w:hint="eastAsia" w:ascii="宋体" w:hAnsi="宋体" w:eastAsia="宋体" w:cs="宋体"/>
                <w:sz w:val="21"/>
                <w:szCs w:val="21"/>
                <w:lang w:val="en-US" w:eastAsia="zh-CN"/>
              </w:rPr>
              <w:t>×</w:t>
            </w:r>
            <w:r>
              <w:rPr>
                <w:rFonts w:hint="eastAsia"/>
                <w:sz w:val="21"/>
                <w:szCs w:val="21"/>
                <w:lang w:val="en-US" w:eastAsia="zh-CN"/>
              </w:rPr>
              <w:t>10</w:t>
            </w:r>
            <w:r>
              <w:rPr>
                <w:rFonts w:hint="eastAsia"/>
                <w:sz w:val="21"/>
                <w:szCs w:val="21"/>
                <w:vertAlign w:val="superscript"/>
                <w:lang w:val="en-US" w:eastAsia="zh-CN"/>
              </w:rPr>
              <w:t>-5</w:t>
            </w:r>
          </w:p>
        </w:tc>
      </w:tr>
      <w:tr w14:paraId="4A4E5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7" w:hRule="atLeast"/>
          <w:jc w:val="center"/>
        </w:trPr>
        <w:tc>
          <w:tcPr>
            <w:tcW w:w="382" w:type="pct"/>
            <w:tcBorders>
              <w:top w:val="single" w:color="000000" w:sz="6" w:space="0"/>
              <w:left w:val="single" w:color="auto" w:sz="4" w:space="0"/>
              <w:bottom w:val="single" w:color="000000" w:sz="6" w:space="0"/>
              <w:right w:val="single" w:color="000000" w:sz="6" w:space="0"/>
            </w:tcBorders>
            <w:vAlign w:val="center"/>
          </w:tcPr>
          <w:p w14:paraId="4950DB9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sz w:val="21"/>
                <w:szCs w:val="21"/>
                <w:lang w:val="en-US" w:eastAsia="zh-CN"/>
              </w:rPr>
            </w:pPr>
            <w:r>
              <w:rPr>
                <w:rFonts w:hint="eastAsia"/>
                <w:sz w:val="21"/>
                <w:szCs w:val="21"/>
                <w:lang w:val="en-US" w:eastAsia="zh-CN"/>
              </w:rPr>
              <w:t>3</w:t>
            </w:r>
          </w:p>
        </w:tc>
        <w:tc>
          <w:tcPr>
            <w:tcW w:w="843" w:type="pct"/>
            <w:tcBorders>
              <w:top w:val="single" w:color="000000" w:sz="6" w:space="0"/>
              <w:left w:val="single" w:color="auto" w:sz="4" w:space="0"/>
              <w:bottom w:val="single" w:color="000000" w:sz="6" w:space="0"/>
              <w:right w:val="single" w:color="000000" w:sz="6" w:space="0"/>
            </w:tcBorders>
            <w:vAlign w:val="center"/>
          </w:tcPr>
          <w:p w14:paraId="2C86AE09">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sz w:val="21"/>
                <w:szCs w:val="21"/>
              </w:rPr>
            </w:pPr>
            <w:r>
              <w:rPr>
                <w:rFonts w:ascii="Times New Roman" w:hAnsi="Times New Roman" w:cs="Times New Roman"/>
                <w:position w:val="-12"/>
                <w:sz w:val="21"/>
                <w:szCs w:val="21"/>
              </w:rPr>
              <w:object>
                <v:shape id="_x0000_i1094" o:spt="75" type="#_x0000_t75" style="height:14.15pt;width:23.2pt;" o:ole="t" filled="f" o:preferrelative="t" stroked="f" coordsize="21600,21600">
                  <v:path/>
                  <v:fill on="f" focussize="0,0"/>
                  <v:stroke on="f"/>
                  <v:imagedata r:id="rId149" o:title=""/>
                  <o:lock v:ext="edit" aspectratio="t"/>
                  <w10:wrap type="none"/>
                  <w10:anchorlock/>
                </v:shape>
                <o:OLEObject Type="Embed" ProgID="Equation.DSMT4" ShapeID="_x0000_i1094" DrawAspect="Content" ObjectID="_1468075795" r:id="rId148">
                  <o:LockedField>false</o:LockedField>
                </o:OLEObject>
              </w:object>
            </w:r>
          </w:p>
        </w:tc>
        <w:tc>
          <w:tcPr>
            <w:tcW w:w="886" w:type="pct"/>
            <w:tcBorders>
              <w:top w:val="single" w:color="000000" w:sz="6" w:space="0"/>
              <w:left w:val="single" w:color="000000" w:sz="6" w:space="0"/>
              <w:bottom w:val="single" w:color="000000" w:sz="6" w:space="0"/>
              <w:right w:val="single" w:color="000000" w:sz="6" w:space="0"/>
            </w:tcBorders>
            <w:vAlign w:val="center"/>
          </w:tcPr>
          <w:p w14:paraId="1853E21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kern w:val="0"/>
                <w:sz w:val="21"/>
                <w:szCs w:val="21"/>
                <w:lang w:val="en-US" w:eastAsia="zh-CN"/>
              </w:rPr>
              <w:t>标准</w:t>
            </w:r>
            <w:r>
              <w:rPr>
                <w:rFonts w:hint="eastAsia"/>
                <w:kern w:val="0"/>
                <w:sz w:val="21"/>
                <w:szCs w:val="21"/>
                <w:lang w:eastAsia="zh-CN"/>
              </w:rPr>
              <w:t>溶液中</w:t>
            </w:r>
            <w:r>
              <w:rPr>
                <w:rFonts w:hint="eastAsia"/>
                <w:color w:val="auto"/>
                <w:kern w:val="0"/>
                <w:sz w:val="21"/>
                <w:szCs w:val="21"/>
                <w:vertAlign w:val="superscript"/>
                <w:lang w:val="en-US" w:eastAsia="zh-CN"/>
              </w:rPr>
              <w:t>131</w:t>
            </w:r>
            <w:r>
              <w:rPr>
                <w:rFonts w:hint="eastAsia"/>
                <w:color w:val="auto"/>
                <w:kern w:val="0"/>
                <w:sz w:val="21"/>
                <w:szCs w:val="21"/>
                <w:lang w:val="en-US" w:eastAsia="zh-CN"/>
              </w:rPr>
              <w:t>I</w:t>
            </w:r>
            <w:r>
              <w:rPr>
                <w:rFonts w:hint="eastAsia"/>
                <w:kern w:val="0"/>
                <w:sz w:val="21"/>
                <w:szCs w:val="21"/>
                <w:lang w:val="en-US" w:eastAsia="zh-CN"/>
              </w:rPr>
              <w:t>核素的活度值</w:t>
            </w:r>
          </w:p>
        </w:tc>
        <w:tc>
          <w:tcPr>
            <w:tcW w:w="970" w:type="pct"/>
            <w:tcBorders>
              <w:top w:val="single" w:color="000000" w:sz="6" w:space="0"/>
              <w:left w:val="single" w:color="000000" w:sz="6" w:space="0"/>
              <w:bottom w:val="single" w:color="000000" w:sz="6" w:space="0"/>
              <w:right w:val="single" w:color="000000" w:sz="6" w:space="0"/>
            </w:tcBorders>
            <w:vAlign w:val="center"/>
          </w:tcPr>
          <w:p w14:paraId="44E9623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91.25</w:t>
            </w:r>
            <w:r>
              <w:rPr>
                <w:sz w:val="21"/>
                <w:szCs w:val="21"/>
              </w:rPr>
              <w:t xml:space="preserve"> Bq</w:t>
            </w:r>
          </w:p>
        </w:tc>
        <w:tc>
          <w:tcPr>
            <w:tcW w:w="913" w:type="pct"/>
            <w:tcBorders>
              <w:top w:val="single" w:color="000000" w:sz="6" w:space="0"/>
              <w:left w:val="single" w:color="000000" w:sz="6" w:space="0"/>
              <w:bottom w:val="single" w:color="000000" w:sz="6" w:space="0"/>
              <w:right w:val="single" w:color="000000" w:sz="6" w:space="0"/>
            </w:tcBorders>
            <w:vAlign w:val="center"/>
          </w:tcPr>
          <w:p w14:paraId="119676D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2.4</w:t>
            </w:r>
            <w:r>
              <w:rPr>
                <w:sz w:val="21"/>
                <w:szCs w:val="21"/>
              </w:rPr>
              <w:t>×10</w:t>
            </w:r>
            <w:r>
              <w:rPr>
                <w:sz w:val="21"/>
                <w:szCs w:val="21"/>
                <w:vertAlign w:val="superscript"/>
              </w:rPr>
              <w:t>-</w:t>
            </w:r>
            <w:r>
              <w:rPr>
                <w:rFonts w:hint="eastAsia"/>
                <w:sz w:val="21"/>
                <w:szCs w:val="21"/>
                <w:vertAlign w:val="superscript"/>
                <w:lang w:val="en-US" w:eastAsia="zh-CN"/>
              </w:rPr>
              <w:t>6</w:t>
            </w:r>
            <w:r>
              <w:rPr>
                <w:sz w:val="21"/>
                <w:szCs w:val="21"/>
              </w:rPr>
              <w:t xml:space="preserve"> </w:t>
            </w:r>
            <w:r>
              <w:rPr>
                <w:rFonts w:hint="eastAsia"/>
                <w:sz w:val="21"/>
                <w:szCs w:val="21"/>
              </w:rPr>
              <w:t>s</w:t>
            </w:r>
            <w:r>
              <w:rPr>
                <w:rFonts w:hint="eastAsia"/>
                <w:sz w:val="21"/>
                <w:szCs w:val="21"/>
                <w:vertAlign w:val="superscript"/>
              </w:rPr>
              <w:t>-1</w:t>
            </w:r>
            <w:r>
              <w:rPr>
                <w:sz w:val="21"/>
                <w:szCs w:val="21"/>
              </w:rPr>
              <w:t>·Bq</w:t>
            </w:r>
            <w:r>
              <w:rPr>
                <w:sz w:val="21"/>
                <w:szCs w:val="21"/>
                <w:vertAlign w:val="superscript"/>
              </w:rPr>
              <w:t>-2</w:t>
            </w:r>
          </w:p>
        </w:tc>
        <w:tc>
          <w:tcPr>
            <w:tcW w:w="1003" w:type="pct"/>
            <w:tcBorders>
              <w:top w:val="single" w:color="000000" w:sz="6" w:space="0"/>
              <w:left w:val="single" w:color="000000" w:sz="6" w:space="0"/>
              <w:bottom w:val="single" w:color="000000" w:sz="6" w:space="0"/>
              <w:right w:val="single" w:color="000000" w:sz="6" w:space="0"/>
            </w:tcBorders>
            <w:vAlign w:val="center"/>
          </w:tcPr>
          <w:p w14:paraId="3229293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21.9</w:t>
            </w:r>
            <w:r>
              <w:rPr>
                <w:rFonts w:hint="eastAsia" w:ascii="宋体" w:hAnsi="宋体" w:eastAsia="宋体" w:cs="宋体"/>
                <w:sz w:val="21"/>
                <w:szCs w:val="21"/>
                <w:lang w:val="en-US" w:eastAsia="zh-CN"/>
              </w:rPr>
              <w:t>×</w:t>
            </w:r>
            <w:r>
              <w:rPr>
                <w:rFonts w:hint="eastAsia"/>
                <w:sz w:val="21"/>
                <w:szCs w:val="21"/>
                <w:lang w:val="en-US" w:eastAsia="zh-CN"/>
              </w:rPr>
              <w:t>10</w:t>
            </w:r>
            <w:r>
              <w:rPr>
                <w:rFonts w:hint="eastAsia"/>
                <w:sz w:val="21"/>
                <w:szCs w:val="21"/>
                <w:vertAlign w:val="superscript"/>
                <w:lang w:val="en-US" w:eastAsia="zh-CN"/>
              </w:rPr>
              <w:t>-5</w:t>
            </w:r>
          </w:p>
        </w:tc>
      </w:tr>
    </w:tbl>
    <w:p w14:paraId="7247527A">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lang w:eastAsia="zh-CN"/>
        </w:rPr>
      </w:pPr>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w:t>
      </w:r>
      <w:r>
        <w:rPr>
          <w:rFonts w:hint="eastAsia" w:ascii="黑体" w:hAnsi="黑体" w:eastAsia="黑体" w:cs="黑体"/>
          <w:strike w:val="0"/>
          <w:dstrike w:val="0"/>
          <w:kern w:val="0"/>
          <w:lang w:val="en-US" w:eastAsia="zh-CN"/>
        </w:rPr>
        <w:t>5</w:t>
      </w:r>
      <w:r>
        <w:rPr>
          <w:rFonts w:hint="eastAsia" w:ascii="黑体" w:hAnsi="黑体" w:eastAsia="黑体" w:cs="黑体"/>
          <w:strike w:val="0"/>
          <w:dstrike w:val="0"/>
          <w:kern w:val="0"/>
        </w:rPr>
        <w:t xml:space="preserve">  </w:t>
      </w:r>
      <w:r>
        <w:rPr>
          <w:rFonts w:hint="eastAsia" w:ascii="黑体" w:hAnsi="黑体" w:eastAsia="黑体" w:cs="黑体"/>
          <w:strike w:val="0"/>
          <w:dstrike w:val="0"/>
          <w:kern w:val="0"/>
          <w:lang w:eastAsia="zh-CN"/>
        </w:rPr>
        <w:t>合成标准不确定度</w:t>
      </w:r>
    </w:p>
    <w:p w14:paraId="7166561E">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480" w:lineRule="exact"/>
        <w:ind w:firstLine="480" w:firstLineChars="200"/>
        <w:jc w:val="both"/>
        <w:textAlignment w:val="auto"/>
        <w:rPr>
          <w:rFonts w:hint="eastAsia" w:ascii="Times New Roman" w:hAnsi="Times New Roman" w:eastAsia="宋体" w:cs="Times New Roman"/>
          <w:lang w:eastAsia="zh-CN"/>
        </w:rPr>
      </w:pPr>
      <w:r>
        <w:rPr>
          <w:rFonts w:hint="eastAsia" w:ascii="Times New Roman" w:hAnsi="Times New Roman" w:cs="Times New Roman"/>
          <w:lang w:eastAsia="zh-CN"/>
        </w:rPr>
        <w:t>合成</w:t>
      </w:r>
      <w:r>
        <w:rPr>
          <w:rFonts w:hint="eastAsia" w:cs="Times New Roman"/>
          <w:lang w:eastAsia="zh-CN"/>
        </w:rPr>
        <w:t>标准</w:t>
      </w:r>
      <w:r>
        <w:rPr>
          <w:rFonts w:hint="eastAsia" w:ascii="Times New Roman" w:hAnsi="Times New Roman" w:cs="Times New Roman"/>
          <w:lang w:eastAsia="zh-CN"/>
        </w:rPr>
        <w:t>不确定度计算</w:t>
      </w:r>
      <w:r>
        <w:rPr>
          <w:rFonts w:hint="eastAsia" w:cs="Times New Roman"/>
          <w:lang w:eastAsia="zh-CN"/>
        </w:rPr>
        <w:t>如</w:t>
      </w:r>
      <w:r>
        <w:rPr>
          <w:rFonts w:hint="eastAsia" w:ascii="Times New Roman" w:hAnsi="Times New Roman" w:cs="Times New Roman"/>
          <w:lang w:eastAsia="zh-CN"/>
        </w:rPr>
        <w:t>下：</w:t>
      </w:r>
    </w:p>
    <w:p w14:paraId="42D7B37F">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center"/>
        <w:textAlignment w:val="auto"/>
        <w:rPr>
          <w:rFonts w:hint="eastAsia" w:ascii="黑体" w:hAnsi="黑体" w:eastAsia="黑体" w:cs="黑体"/>
          <w:strike w:val="0"/>
          <w:dstrike w:val="0"/>
          <w:kern w:val="0"/>
          <w:lang w:eastAsia="zh-CN"/>
        </w:rPr>
      </w:pPr>
      <w:r>
        <w:rPr>
          <w:rFonts w:ascii="Times New Roman" w:hAnsi="Times New Roman" w:cs="Times New Roman"/>
          <w:position w:val="-34"/>
        </w:rPr>
        <w:object>
          <v:shape id="_x0000_i1095" o:spt="75" type="#_x0000_t75" style="height:44.45pt;width:371pt;" o:ole="t" filled="f" o:preferrelative="t" stroked="f" coordsize="21600,21600">
            <v:path/>
            <v:fill on="f" focussize="0,0"/>
            <v:stroke on="f"/>
            <v:imagedata r:id="rId151" o:title=""/>
            <o:lock v:ext="edit" aspectratio="t"/>
            <w10:wrap type="none"/>
            <w10:anchorlock/>
          </v:shape>
          <o:OLEObject Type="Embed" ProgID="Equation.DSMT4" ShapeID="_x0000_i1095" DrawAspect="Content" ObjectID="_1468075796" r:id="rId150">
            <o:LockedField>false</o:LockedField>
          </o:OLEObject>
        </w:object>
      </w:r>
    </w:p>
    <w:p w14:paraId="239B458E">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480" w:lineRule="exact"/>
        <w:ind w:firstLine="480" w:firstLineChars="200"/>
        <w:jc w:val="both"/>
        <w:textAlignment w:val="auto"/>
        <w:rPr>
          <w:rFonts w:hint="eastAsia" w:ascii="Times New Roman" w:hAnsi="Times New Roman" w:eastAsia="宋体" w:cs="Times New Roman"/>
          <w:lang w:eastAsia="zh-CN"/>
        </w:rPr>
      </w:pPr>
      <w:r>
        <w:rPr>
          <w:rFonts w:hint="eastAsia" w:cs="Times New Roman"/>
          <w:lang w:eastAsia="zh-CN"/>
        </w:rPr>
        <w:t>相对</w:t>
      </w:r>
      <w:r>
        <w:rPr>
          <w:rFonts w:hint="eastAsia" w:ascii="Times New Roman" w:hAnsi="Times New Roman" w:cs="Times New Roman"/>
          <w:lang w:eastAsia="zh-CN"/>
        </w:rPr>
        <w:t>合成</w:t>
      </w:r>
      <w:r>
        <w:rPr>
          <w:rFonts w:hint="eastAsia" w:cs="Times New Roman"/>
          <w:lang w:eastAsia="zh-CN"/>
        </w:rPr>
        <w:t>标准</w:t>
      </w:r>
      <w:r>
        <w:rPr>
          <w:rFonts w:hint="eastAsia" w:ascii="Times New Roman" w:hAnsi="Times New Roman" w:cs="Times New Roman"/>
          <w:lang w:eastAsia="zh-CN"/>
        </w:rPr>
        <w:t>不确定度</w:t>
      </w:r>
      <w:r>
        <w:rPr>
          <w:rFonts w:hint="eastAsia" w:cs="Times New Roman"/>
          <w:lang w:eastAsia="zh-CN"/>
        </w:rPr>
        <w:t>为：</w:t>
      </w:r>
    </w:p>
    <w:p w14:paraId="1A4B91D2">
      <w:pPr>
        <w:keepNext w:val="0"/>
        <w:keepLines w:val="0"/>
        <w:pageBreakBefore w:val="0"/>
        <w:numPr>
          <w:ilvl w:val="0"/>
          <w:numId w:val="0"/>
        </w:numPr>
        <w:kinsoku/>
        <w:wordWrap/>
        <w:overflowPunct/>
        <w:topLinePunct w:val="0"/>
        <w:autoSpaceDE/>
        <w:autoSpaceDN/>
        <w:bidi w:val="0"/>
        <w:adjustRightInd w:val="0"/>
        <w:snapToGrid/>
        <w:spacing w:line="240" w:lineRule="auto"/>
        <w:jc w:val="center"/>
        <w:textAlignment w:val="auto"/>
        <w:rPr>
          <w:rFonts w:eastAsiaTheme="majorEastAsia"/>
          <w:color w:val="000000" w:themeColor="text1"/>
          <w:kern w:val="0"/>
          <w:position w:val="-30"/>
          <w:sz w:val="24"/>
          <w:lang w:val="zh-CN" w:eastAsia="zh-CN"/>
          <w14:textFill>
            <w14:solidFill>
              <w14:schemeClr w14:val="tx1"/>
            </w14:solidFill>
          </w14:textFill>
        </w:rPr>
      </w:pPr>
      <w:r>
        <w:rPr>
          <w:rFonts w:ascii="Times New Roman" w:hAnsi="Times New Roman" w:cs="Times New Roman"/>
          <w:position w:val="-28"/>
        </w:rPr>
        <w:object>
          <v:shape id="_x0000_i1096" o:spt="75" type="#_x0000_t75" style="height:35.4pt;width:177pt;" o:ole="t" filled="f" o:preferrelative="t" stroked="f" coordsize="21600,21600">
            <v:path/>
            <v:fill on="f" focussize="0,0"/>
            <v:stroke on="f"/>
            <v:imagedata r:id="rId153" o:title=""/>
            <o:lock v:ext="edit" aspectratio="t"/>
            <w10:wrap type="none"/>
            <w10:anchorlock/>
          </v:shape>
          <o:OLEObject Type="Embed" ProgID="Equation.DSMT4" ShapeID="_x0000_i1096" DrawAspect="Content" ObjectID="_1468075797" r:id="rId152">
            <o:LockedField>false</o:LockedField>
          </o:OLEObject>
        </w:object>
      </w:r>
    </w:p>
    <w:p w14:paraId="09253F9E">
      <w:pPr>
        <w:keepNext w:val="0"/>
        <w:keepLines w:val="0"/>
        <w:pageBreakBefore w:val="0"/>
        <w:widowControl/>
        <w:kinsoku/>
        <w:wordWrap/>
        <w:overflowPunct/>
        <w:topLinePunct w:val="0"/>
        <w:autoSpaceDE/>
        <w:autoSpaceDN/>
        <w:bidi w:val="0"/>
        <w:adjustRightInd/>
        <w:snapToGrid/>
        <w:spacing w:before="148" w:beforeLines="50" w:after="148" w:afterLines="50" w:line="480" w:lineRule="exact"/>
        <w:ind w:firstLine="0" w:firstLineChars="0"/>
        <w:jc w:val="both"/>
        <w:textAlignment w:val="auto"/>
        <w:rPr>
          <w:rFonts w:hint="eastAsia" w:ascii="黑体" w:hAnsi="黑体" w:eastAsia="黑体" w:cs="黑体"/>
          <w:strike w:val="0"/>
          <w:dstrike w:val="0"/>
          <w:kern w:val="0"/>
          <w:lang w:eastAsia="zh-CN"/>
        </w:rPr>
      </w:pPr>
      <w:r>
        <w:rPr>
          <w:rFonts w:hint="eastAsia" w:ascii="黑体" w:hAnsi="黑体" w:eastAsia="黑体" w:cs="黑体"/>
          <w:strike w:val="0"/>
          <w:dstrike w:val="0"/>
          <w:kern w:val="0"/>
          <w:lang w:val="en-US" w:eastAsia="zh-CN"/>
        </w:rPr>
        <w:t>D</w:t>
      </w:r>
      <w:r>
        <w:rPr>
          <w:rFonts w:hint="eastAsia" w:ascii="黑体" w:hAnsi="黑体" w:eastAsia="黑体" w:cs="黑体"/>
          <w:strike w:val="0"/>
          <w:dstrike w:val="0"/>
          <w:kern w:val="0"/>
        </w:rPr>
        <w:t>.</w:t>
      </w:r>
      <w:r>
        <w:rPr>
          <w:rFonts w:hint="eastAsia" w:ascii="黑体" w:hAnsi="黑体" w:eastAsia="黑体" w:cs="黑体"/>
          <w:strike w:val="0"/>
          <w:dstrike w:val="0"/>
          <w:kern w:val="0"/>
          <w:lang w:val="en-US" w:eastAsia="zh-CN"/>
        </w:rPr>
        <w:t>6</w:t>
      </w:r>
      <w:r>
        <w:rPr>
          <w:rFonts w:hint="eastAsia" w:ascii="黑体" w:hAnsi="黑体" w:eastAsia="黑体" w:cs="黑体"/>
          <w:strike w:val="0"/>
          <w:dstrike w:val="0"/>
          <w:kern w:val="0"/>
        </w:rPr>
        <w:t xml:space="preserve">  </w:t>
      </w:r>
      <w:r>
        <w:rPr>
          <w:rFonts w:hint="eastAsia" w:ascii="黑体" w:hAnsi="黑体" w:eastAsia="黑体" w:cs="黑体"/>
          <w:strike w:val="0"/>
          <w:dstrike w:val="0"/>
          <w:kern w:val="0"/>
          <w:lang w:eastAsia="zh-CN"/>
        </w:rPr>
        <w:t>相对扩展不确定度</w:t>
      </w:r>
    </w:p>
    <w:p w14:paraId="322A2027">
      <w:pPr>
        <w:pStyle w:val="17"/>
        <w:keepNext w:val="0"/>
        <w:keepLines w:val="0"/>
        <w:pageBreakBefore w:val="0"/>
        <w:widowControl w:val="0"/>
        <w:kinsoku/>
        <w:wordWrap/>
        <w:overflowPunct/>
        <w:topLinePunct w:val="0"/>
        <w:autoSpaceDE/>
        <w:autoSpaceDN/>
        <w:bidi w:val="0"/>
        <w:adjustRightInd/>
        <w:snapToGrid w:val="0"/>
        <w:spacing w:before="0" w:beforeAutospacing="0" w:after="0" w:afterAutospacing="0" w:line="480" w:lineRule="exact"/>
        <w:ind w:firstLine="480" w:firstLineChars="200"/>
        <w:jc w:val="both"/>
        <w:textAlignment w:val="auto"/>
        <w:rPr>
          <w:rFonts w:hint="eastAsia" w:ascii="Times New Roman" w:hAnsi="Times New Roman" w:eastAsia="宋体" w:cs="Times New Roman"/>
          <w:lang w:eastAsia="zh-CN"/>
        </w:rPr>
      </w:pPr>
      <w:r>
        <w:rPr>
          <w:rFonts w:hint="eastAsia" w:cs="Times New Roman"/>
          <w:lang w:eastAsia="zh-CN"/>
        </w:rPr>
        <w:t>取包含因子</w:t>
      </w:r>
      <w:r>
        <w:rPr>
          <w:rFonts w:hint="eastAsia" w:cs="Times New Roman"/>
          <w:i/>
          <w:iCs/>
          <w:lang w:val="en-US" w:eastAsia="zh-CN"/>
        </w:rPr>
        <w:t>k</w:t>
      </w:r>
      <w:r>
        <w:rPr>
          <w:rFonts w:hint="eastAsia" w:cs="Times New Roman"/>
          <w:lang w:val="en-US" w:eastAsia="zh-CN"/>
        </w:rPr>
        <w:t>=2，得到</w:t>
      </w:r>
      <w:r>
        <w:rPr>
          <w:rFonts w:hint="eastAsia" w:ascii="Times New Roman" w:hAnsi="Times New Roman" w:cs="Times New Roman"/>
          <w:lang w:val="en-US" w:eastAsia="zh-CN"/>
        </w:rPr>
        <w:t>甲状腺碘测量仪活度响应测量结果</w:t>
      </w:r>
      <w:r>
        <w:rPr>
          <w:rFonts w:hint="eastAsia" w:cs="Times New Roman"/>
          <w:lang w:val="en-US" w:eastAsia="zh-CN"/>
        </w:rPr>
        <w:t>的</w:t>
      </w:r>
      <w:r>
        <w:rPr>
          <w:rFonts w:hint="eastAsia" w:ascii="Times New Roman" w:hAnsi="Times New Roman" w:cs="Times New Roman"/>
          <w:lang w:val="en-US" w:eastAsia="zh-CN"/>
        </w:rPr>
        <w:t>相</w:t>
      </w:r>
      <w:r>
        <w:rPr>
          <w:rFonts w:hint="eastAsia" w:cs="Times New Roman"/>
          <w:lang w:val="en-US" w:eastAsia="zh-CN"/>
        </w:rPr>
        <w:t>对扩展不确定度</w:t>
      </w:r>
      <w:r>
        <w:rPr>
          <w:rFonts w:hint="eastAsia" w:cs="Times New Roman"/>
          <w:lang w:eastAsia="zh-CN"/>
        </w:rPr>
        <w:t>：</w:t>
      </w:r>
    </w:p>
    <w:tbl>
      <w:tblPr>
        <w:tblStyle w:val="20"/>
        <w:tblW w:w="2721" w:type="dxa"/>
        <w:jc w:val="center"/>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21"/>
      </w:tblGrid>
      <w:tr w14:paraId="55B5E708">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21" w:type="dxa"/>
            <w:tcBorders>
              <w:tl2br w:val="nil"/>
              <w:tr2bl w:val="nil"/>
            </w:tcBorders>
            <w:vAlign w:val="top"/>
          </w:tcPr>
          <w:p w14:paraId="0C49F249">
            <w:pPr>
              <w:keepNext w:val="0"/>
              <w:keepLines w:val="0"/>
              <w:pageBreakBefore w:val="0"/>
              <w:numPr>
                <w:ilvl w:val="0"/>
                <w:numId w:val="0"/>
              </w:numPr>
              <w:kinsoku/>
              <w:wordWrap/>
              <w:overflowPunct/>
              <w:topLinePunct w:val="0"/>
              <w:autoSpaceDE/>
              <w:autoSpaceDN/>
              <w:bidi w:val="0"/>
              <w:adjustRightInd w:val="0"/>
              <w:snapToGrid/>
              <w:spacing w:line="240" w:lineRule="auto"/>
              <w:jc w:val="center"/>
              <w:textAlignment w:val="auto"/>
              <w:rPr>
                <w:rFonts w:ascii="Times New Roman" w:hAnsi="Times New Roman" w:cs="Times New Roman"/>
                <w:color w:val="000000"/>
                <w:sz w:val="24"/>
                <w:szCs w:val="24"/>
              </w:rPr>
            </w:pPr>
            <w:r>
              <w:rPr>
                <w:rFonts w:ascii="Times New Roman" w:hAnsi="Times New Roman" w:cs="Times New Roman"/>
                <w:position w:val="-12"/>
              </w:rPr>
              <w:object>
                <v:shape id="_x0000_i1097" o:spt="75" type="#_x0000_t75" style="height:18.25pt;width:120pt;" o:ole="t" filled="f" o:preferrelative="t" stroked="f" coordsize="21600,21600">
                  <v:path/>
                  <v:fill on="f" focussize="0,0"/>
                  <v:stroke on="f"/>
                  <v:imagedata r:id="rId155" o:title=""/>
                  <o:lock v:ext="edit" aspectratio="t"/>
                  <w10:wrap type="none"/>
                  <w10:anchorlock/>
                </v:shape>
                <o:OLEObject Type="Embed" ProgID="Equation.DSMT4" ShapeID="_x0000_i1097" DrawAspect="Content" ObjectID="_1468075798" r:id="rId154">
                  <o:LockedField>false</o:LockedField>
                </o:OLEObject>
              </w:object>
            </w:r>
          </w:p>
        </w:tc>
      </w:tr>
    </w:tbl>
    <w:p w14:paraId="5C69D8D3">
      <w:pPr>
        <w:ind w:left="0" w:leftChars="0" w:firstLine="0" w:firstLineChars="0"/>
        <w:rPr>
          <w:color w:val="000000" w:themeColor="text1"/>
          <w14:textFill>
            <w14:solidFill>
              <w14:schemeClr w14:val="tx1"/>
            </w14:solidFill>
          </w14:textFill>
        </w:rPr>
      </w:pPr>
    </w:p>
    <w:sectPr>
      <w:headerReference r:id="rId21" w:type="default"/>
      <w:footerReference r:id="rId23" w:type="default"/>
      <w:headerReference r:id="rId22" w:type="even"/>
      <w:footerReference r:id="rId24" w:type="even"/>
      <w:pgSz w:w="11906" w:h="16838"/>
      <w:pgMar w:top="1587" w:right="1587" w:bottom="1417" w:left="1587" w:header="1134" w:footer="907" w:gutter="0"/>
      <w:pgBorders>
        <w:top w:val="none" w:sz="0" w:space="0"/>
        <w:left w:val="none" w:sz="0" w:space="0"/>
        <w:bottom w:val="none" w:sz="0" w:space="0"/>
        <w:right w:val="none" w:sz="0" w:space="0"/>
      </w:pgBorders>
      <w:pgNumType w:fmt="decimal" w:start="1"/>
      <w:cols w:space="0" w:num="1"/>
      <w:rtlGutter w:val="0"/>
      <w:docGrid w:type="lines" w:linePitch="294"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51C11BD-8131-4E61-8084-4BD4124D793B}"/>
  </w:font>
  <w:font w:name="黑体">
    <w:panose1 w:val="02010609060101010101"/>
    <w:charset w:val="86"/>
    <w:family w:val="auto"/>
    <w:pitch w:val="default"/>
    <w:sig w:usb0="800002BF" w:usb1="38CF7CFA" w:usb2="00000016" w:usb3="00000000" w:csb0="00040001" w:csb1="00000000"/>
    <w:embedRegular r:id="rId2" w:fontKey="{EEA4C405-8F44-4BB7-863D-EC01D2C5E7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3" w:fontKey="{63933AA8-E2C0-4A61-B430-CF0647DF1110}"/>
  </w:font>
  <w:font w:name="Wingdings 2">
    <w:altName w:val="Wingdings"/>
    <w:panose1 w:val="05020102010507070707"/>
    <w:charset w:val="00"/>
    <w:family w:val="auto"/>
    <w:pitch w:val="default"/>
    <w:sig w:usb0="00000000" w:usb1="00000000" w:usb2="00000000" w:usb3="00000000" w:csb0="80000000" w:csb1="00000000"/>
    <w:embedRegular r:id="rId4" w:fontKey="{C11F3147-186D-4C9C-A71E-6F1A4DBE9F31}"/>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7EED1">
    <w:pPr>
      <w:pStyle w:val="13"/>
      <w:jc w:val="center"/>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119ECD">
                          <w:pPr>
                            <w:pStyle w:val="13"/>
                            <w:jc w:val="center"/>
                          </w:pPr>
                          <w:r>
                            <w:fldChar w:fldCharType="begin"/>
                          </w:r>
                          <w:r>
                            <w:instrText xml:space="preserve"> PAGE   \* MERGEFORMAT </w:instrText>
                          </w:r>
                          <w:r>
                            <w:fldChar w:fldCharType="separate"/>
                          </w:r>
                          <w:r>
                            <w:rPr>
                              <w:lang w:val="zh-CN"/>
                            </w:rPr>
                            <w:t>10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6B119ECD">
                    <w:pPr>
                      <w:pStyle w:val="13"/>
                      <w:jc w:val="center"/>
                    </w:pPr>
                    <w:r>
                      <w:fldChar w:fldCharType="begin"/>
                    </w:r>
                    <w:r>
                      <w:instrText xml:space="preserve"> PAGE   \* MERGEFORMAT </w:instrText>
                    </w:r>
                    <w:r>
                      <w:fldChar w:fldCharType="separate"/>
                    </w:r>
                    <w:r>
                      <w:rPr>
                        <w:lang w:val="zh-CN"/>
                      </w:rPr>
                      <w:t>10</w:t>
                    </w:r>
                    <w:r>
                      <w:fldChar w:fldCharType="end"/>
                    </w:r>
                  </w:p>
                </w:txbxContent>
              </v:textbox>
            </v:shape>
          </w:pict>
        </mc:Fallback>
      </mc:AlternateContent>
    </w:r>
  </w:p>
  <w:p w14:paraId="6B69D568">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BCF14">
    <w:pPr>
      <w:pStyle w:val="13"/>
      <w:ind w:firstLine="0" w:firstLineChars="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48E5A4">
                          <w:pPr>
                            <w:pStyle w:val="13"/>
                            <w:ind w:firstLine="0" w:firstLineChars="0"/>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5D48E5A4">
                    <w:pPr>
                      <w:pStyle w:val="13"/>
                      <w:ind w:firstLine="0" w:firstLineChars="0"/>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74100">
    <w:pPr>
      <w:pStyle w:val="13"/>
      <w:ind w:firstLine="36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21"/>
                              <w:szCs w:val="21"/>
                            </w:rPr>
                            <w:id w:val="369196843"/>
                          </w:sdtPr>
                          <w:sdtEndPr>
                            <w:rPr>
                              <w:sz w:val="21"/>
                              <w:szCs w:val="21"/>
                            </w:rPr>
                          </w:sdtEndPr>
                          <w:sdtContent>
                            <w:p w14:paraId="200FBEB4">
                              <w:pPr>
                                <w:pStyle w:val="13"/>
                                <w:ind w:firstLine="0" w:firstLineChars="0"/>
                                <w:jc w:val="both"/>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II</w:t>
                              </w:r>
                              <w:r>
                                <w:rPr>
                                  <w:sz w:val="21"/>
                                  <w:szCs w:val="21"/>
                                </w:rPr>
                                <w:fldChar w:fldCharType="end"/>
                              </w:r>
                            </w:p>
                          </w:sdtContent>
                        </w:sdt>
                        <w:p w14:paraId="219DA33B">
                          <w:pPr>
                            <w:ind w:firstLine="420"/>
                            <w:rPr>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sdt>
                    <w:sdtPr>
                      <w:rPr>
                        <w:sz w:val="21"/>
                        <w:szCs w:val="21"/>
                      </w:rPr>
                      <w:id w:val="369196843"/>
                    </w:sdtPr>
                    <w:sdtEndPr>
                      <w:rPr>
                        <w:sz w:val="21"/>
                        <w:szCs w:val="21"/>
                      </w:rPr>
                    </w:sdtEndPr>
                    <w:sdtContent>
                      <w:p w14:paraId="200FBEB4">
                        <w:pPr>
                          <w:pStyle w:val="13"/>
                          <w:ind w:firstLine="0" w:firstLineChars="0"/>
                          <w:jc w:val="both"/>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II</w:t>
                        </w:r>
                        <w:r>
                          <w:rPr>
                            <w:sz w:val="21"/>
                            <w:szCs w:val="21"/>
                          </w:rPr>
                          <w:fldChar w:fldCharType="end"/>
                        </w:r>
                      </w:p>
                    </w:sdtContent>
                  </w:sdt>
                  <w:p w14:paraId="219DA33B">
                    <w:pPr>
                      <w:ind w:firstLine="420"/>
                      <w:rPr>
                        <w:sz w:val="21"/>
                        <w:szCs w:val="21"/>
                      </w:rP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3E0FF">
    <w:pPr>
      <w:pStyle w:val="13"/>
      <w:ind w:firstLine="8190" w:firstLineChars="4550"/>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F7155E">
                          <w:pPr>
                            <w:pStyle w:val="13"/>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5F7155E">
                    <w:pPr>
                      <w:pStyle w:val="13"/>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EA63A">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A1A9B">
    <w:pPr>
      <w:pStyle w:val="13"/>
    </w:pPr>
  </w:p>
  <w:p w14:paraId="031F66F6">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4C929">
    <w:pPr>
      <w:pStyle w:val="13"/>
      <w:ind w:right="180"/>
      <w:jc w:val="right"/>
    </w:pPr>
  </w:p>
  <w:p w14:paraId="720DDD04">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631BE">
    <w:pPr>
      <w:pStyle w:val="13"/>
      <w:ind w:firstLine="8190" w:firstLineChars="455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B4745">
    <w:pPr>
      <w:pStyle w:val="13"/>
      <w:ind w:firstLine="360"/>
    </w:pPr>
  </w:p>
  <w:p w14:paraId="577686B7">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DAC71">
    <w:pPr>
      <w:pStyle w:val="13"/>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D2F7E">
    <w:pPr>
      <w:pStyle w:val="13"/>
      <w:ind w:firstLine="0" w:firstLineChars="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3CD6D">
    <w:pPr>
      <w:pStyle w:val="13"/>
      <w:ind w:firstLine="0" w:firstLineChars="0"/>
    </w:pPr>
    <w:r>
      <mc:AlternateContent>
        <mc:Choice Requires="wps">
          <w:drawing>
            <wp:anchor distT="0" distB="0" distL="114300" distR="114300" simplePos="0" relativeHeight="251659264" behindDoc="0" locked="0" layoutInCell="1" allowOverlap="1">
              <wp:simplePos x="0" y="0"/>
              <wp:positionH relativeFrom="margin">
                <wp:posOffset>5337810</wp:posOffset>
              </wp:positionH>
              <wp:positionV relativeFrom="paragraph">
                <wp:posOffset>0</wp:posOffset>
              </wp:positionV>
              <wp:extent cx="207010" cy="3810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207010" cy="381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A3F39">
                          <w:pPr>
                            <w:pStyle w:val="13"/>
                            <w:ind w:firstLine="0" w:firstLineChars="0"/>
                            <w:jc w:val="right"/>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I</w:t>
                          </w:r>
                          <w:r>
                            <w:rPr>
                              <w:rFonts w:hint="eastAsia"/>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420.3pt;margin-top:0pt;height:30pt;width:16.3pt;mso-position-horizontal-relative:margin;z-index:251659264;mso-width-relative:page;mso-height-relative:page;" filled="f" stroked="f" coordsize="21600,21600" o:gfxdata="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YldyDWAAAABwEAAA8AAAAAAAAAAQAgAAAAIgAAAGRycy9kb3ducmV2LnhtbFBL&#10;AQIUABQAAAAIAIdO4kBdN1f9MQIAAFcEAAAOAAAAAAAAAAEAIAAAACUBAABkcnMvZTJvRG9jLnht&#10;bFBLBQYAAAAABgAGAFkBAADIBQAAAAA=&#10;">
              <v:fill on="f" focussize="0,0"/>
              <v:stroke on="f" weight="0.5pt"/>
              <v:imagedata o:title=""/>
              <o:lock v:ext="edit" aspectratio="f"/>
              <v:textbox inset="0mm,0mm,0mm,0mm">
                <w:txbxContent>
                  <w:p w14:paraId="440A3F39">
                    <w:pPr>
                      <w:pStyle w:val="13"/>
                      <w:ind w:firstLine="0" w:firstLineChars="0"/>
                      <w:jc w:val="right"/>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I</w:t>
                    </w:r>
                    <w:r>
                      <w:rPr>
                        <w:rFonts w:hint="eastAsia"/>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63580">
    <w:pPr>
      <w:pStyle w:val="13"/>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93934358"/>
                          </w:sdtPr>
                          <w:sdtContent>
                            <w:p w14:paraId="3A0D671B">
                              <w:pPr>
                                <w:pStyle w:val="13"/>
                                <w:ind w:firstLine="0" w:firstLineChars="0"/>
                                <w:jc w:val="both"/>
                              </w:pPr>
                              <w:r>
                                <w:fldChar w:fldCharType="begin"/>
                              </w:r>
                              <w:r>
                                <w:instrText xml:space="preserve">PAGE   \* MERGEFORMAT</w:instrText>
                              </w:r>
                              <w:r>
                                <w:fldChar w:fldCharType="separate"/>
                              </w:r>
                              <w:r>
                                <w:rPr>
                                  <w:lang w:val="zh-CN"/>
                                </w:rPr>
                                <w:t>14</w:t>
                              </w:r>
                              <w:r>
                                <w:fldChar w:fldCharType="end"/>
                              </w:r>
                            </w:p>
                          </w:sdtContent>
                        </w:sdt>
                        <w:p w14:paraId="2CD81EE7">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sdt>
                    <w:sdtPr>
                      <w:id w:val="-1093934358"/>
                    </w:sdtPr>
                    <w:sdtContent>
                      <w:p w14:paraId="3A0D671B">
                        <w:pPr>
                          <w:pStyle w:val="13"/>
                          <w:ind w:firstLine="0" w:firstLineChars="0"/>
                          <w:jc w:val="both"/>
                        </w:pPr>
                        <w:r>
                          <w:fldChar w:fldCharType="begin"/>
                        </w:r>
                        <w:r>
                          <w:instrText xml:space="preserve">PAGE   \* MERGEFORMAT</w:instrText>
                        </w:r>
                        <w:r>
                          <w:fldChar w:fldCharType="separate"/>
                        </w:r>
                        <w:r>
                          <w:rPr>
                            <w:lang w:val="zh-CN"/>
                          </w:rPr>
                          <w:t>14</w:t>
                        </w:r>
                        <w:r>
                          <w:fldChar w:fldCharType="end"/>
                        </w:r>
                      </w:p>
                    </w:sdtContent>
                  </w:sdt>
                  <w:p w14:paraId="2CD81EE7">
                    <w:pPr>
                      <w:ind w:firstLine="48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FE434">
    <w:pPr>
      <w:pStyle w:val="14"/>
      <w:rPr>
        <w:rFonts w:ascii="黑体" w:hAnsi="黑体" w:eastAsia="黑体" w:cs="黑体"/>
        <w:bCs/>
        <w:sz w:val="21"/>
        <w:szCs w:val="21"/>
      </w:rPr>
    </w:pPr>
    <w:r>
      <w:rPr>
        <w:rFonts w:hint="eastAsia" w:ascii="黑体" w:hAnsi="黑体" w:eastAsia="黑体" w:cs="黑体"/>
        <w:bCs/>
        <w:sz w:val="21"/>
        <w:szCs w:val="21"/>
      </w:rPr>
      <w:t>JJ</w:t>
    </w:r>
    <w:r>
      <w:rPr>
        <w:rFonts w:ascii="黑体" w:hAnsi="黑体" w:eastAsia="黑体" w:cs="黑体"/>
        <w:bCs/>
        <w:sz w:val="21"/>
        <w:szCs w:val="21"/>
      </w:rPr>
      <w:t>F</w:t>
    </w:r>
    <w:r>
      <w:rPr>
        <w:rFonts w:hint="eastAsia" w:ascii="黑体" w:hAnsi="黑体" w:eastAsia="黑体" w:cs="黑体"/>
        <w:bCs/>
        <w:sz w:val="21"/>
        <w:szCs w:val="21"/>
        <w:lang w:val="en-US" w:eastAsia="zh-CN"/>
      </w:rPr>
      <w:t xml:space="preserve"> </w:t>
    </w:r>
    <w:r>
      <w:rPr>
        <w:rFonts w:ascii="黑体" w:hAnsi="黑体" w:eastAsia="黑体" w:cs="黑体"/>
        <w:bCs/>
        <w:sz w:val="21"/>
        <w:szCs w:val="21"/>
      </w:rPr>
      <w:t>XXXX</w:t>
    </w:r>
    <w:r>
      <w:rPr>
        <w:rFonts w:hint="eastAsia" w:ascii="黑体" w:hAnsi="黑体" w:eastAsia="黑体" w:cs="黑体"/>
        <w:bCs/>
        <w:sz w:val="21"/>
        <w:szCs w:val="21"/>
      </w:rPr>
      <w:t>—</w:t>
    </w:r>
    <w:r>
      <w:rPr>
        <w:rFonts w:hint="eastAsia" w:ascii="黑体" w:hAnsi="黑体" w:eastAsia="黑体" w:cs="黑体"/>
        <w:bCs/>
        <w:sz w:val="21"/>
        <w:szCs w:val="21"/>
        <w:lang w:val="en-US" w:eastAsia="zh-CN"/>
      </w:rPr>
      <w:t>20</w:t>
    </w:r>
    <w:r>
      <w:rPr>
        <w:rFonts w:ascii="黑体" w:hAnsi="黑体" w:eastAsia="黑体" w:cs="黑体"/>
        <w:bCs/>
        <w:sz w:val="21"/>
        <w:szCs w:val="21"/>
      </w:rPr>
      <w:t>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1CA29">
    <w:pPr>
      <w:pStyle w:val="14"/>
      <w:rPr>
        <w:rFonts w:ascii="黑体" w:hAnsi="黑体" w:eastAsia="黑体" w:cs="黑体"/>
        <w:bCs/>
        <w:sz w:val="21"/>
        <w:szCs w:val="21"/>
      </w:rPr>
    </w:pPr>
    <w:r>
      <w:rPr>
        <w:rFonts w:hint="eastAsia" w:ascii="黑体" w:hAnsi="黑体" w:eastAsia="黑体" w:cs="黑体"/>
        <w:bCs/>
        <w:sz w:val="21"/>
        <w:szCs w:val="21"/>
      </w:rPr>
      <w:t>JJ</w:t>
    </w:r>
    <w:r>
      <w:rPr>
        <w:rFonts w:ascii="黑体" w:hAnsi="黑体" w:eastAsia="黑体" w:cs="黑体"/>
        <w:bCs/>
        <w:sz w:val="21"/>
        <w:szCs w:val="21"/>
      </w:rPr>
      <w:t>F</w:t>
    </w:r>
    <w:r>
      <w:rPr>
        <w:rFonts w:hint="eastAsia" w:ascii="黑体" w:hAnsi="黑体" w:eastAsia="黑体" w:cs="黑体"/>
        <w:sz w:val="21"/>
        <w:szCs w:val="21"/>
      </w:rPr>
      <w:t>（豫）</w:t>
    </w:r>
    <w:r>
      <w:rPr>
        <w:rFonts w:ascii="黑体" w:hAnsi="黑体" w:eastAsia="黑体" w:cs="黑体"/>
        <w:bCs/>
        <w:sz w:val="21"/>
        <w:szCs w:val="21"/>
      </w:rPr>
      <w:t>XXXX</w:t>
    </w:r>
    <w:r>
      <w:rPr>
        <w:rFonts w:hint="eastAsia" w:ascii="黑体" w:hAnsi="黑体" w:eastAsia="黑体" w:cs="黑体"/>
        <w:bCs/>
        <w:sz w:val="21"/>
        <w:szCs w:val="21"/>
      </w:rPr>
      <w:t>—</w:t>
    </w:r>
    <w:r>
      <w:rPr>
        <w:rFonts w:ascii="黑体" w:hAnsi="黑体" w:eastAsia="黑体" w:cs="黑体"/>
        <w:bCs/>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00494">
    <w:pPr>
      <w:pStyle w:val="14"/>
      <w:pBdr>
        <w:bottom w:val="none" w:color="auto" w:sz="0" w:space="1"/>
      </w:pBdr>
      <w:tabs>
        <w:tab w:val="center" w:pos="4620"/>
        <w:tab w:val="clear" w:pos="4153"/>
        <w:tab w:val="clear" w:pos="8306"/>
      </w:tabs>
      <w:jc w:val="left"/>
      <w:rPr>
        <w:color w:val="FFFFFF"/>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047B4">
    <w:pPr>
      <w:pStyle w:val="14"/>
      <w:pBdr>
        <w:top w:val="none" w:color="auto" w:sz="0" w:space="1"/>
        <w:left w:val="none" w:color="auto" w:sz="0" w:space="4"/>
        <w:right w:val="none" w:color="auto" w:sz="0" w:space="4"/>
      </w:pBdr>
      <w:ind w:firstLine="0" w:firstLineChars="0"/>
      <w:rPr>
        <w:sz w:val="21"/>
        <w:szCs w:val="21"/>
      </w:rPr>
    </w:pPr>
    <w:r>
      <w:rPr>
        <w:rFonts w:hint="eastAsia" w:ascii="黑体" w:hAnsi="黑体" w:eastAsia="黑体" w:cs="黑体"/>
        <w:b w:val="0"/>
        <w:bCs w:val="0"/>
        <w:sz w:val="21"/>
        <w:szCs w:val="21"/>
      </w:rPr>
      <w:t>JJF</w:t>
    </w:r>
    <w:r>
      <w:rPr>
        <w:rFonts w:hint="eastAsia" w:ascii="黑体" w:hAnsi="黑体" w:eastAsia="黑体" w:cs="黑体"/>
        <w:b w:val="0"/>
        <w:bCs w:val="0"/>
        <w:sz w:val="21"/>
        <w:szCs w:val="21"/>
        <w:lang w:val="en-US" w:eastAsia="zh-CN"/>
      </w:rPr>
      <w:t xml:space="preserve"> XXX</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FDB74">
    <w:pPr>
      <w:pStyle w:val="14"/>
      <w:pBdr>
        <w:top w:val="none" w:color="auto" w:sz="0" w:space="1"/>
        <w:left w:val="none" w:color="auto" w:sz="0" w:space="4"/>
        <w:right w:val="none" w:color="auto" w:sz="0" w:space="4"/>
      </w:pBdr>
      <w:ind w:firstLine="0" w:firstLineChars="0"/>
    </w:pPr>
    <w:r>
      <w:rPr>
        <w:rFonts w:hint="eastAsia" w:ascii="黑体" w:hAnsi="黑体" w:eastAsia="黑体" w:cs="黑体"/>
        <w:b w:val="0"/>
        <w:bCs w:val="0"/>
        <w:sz w:val="21"/>
        <w:szCs w:val="21"/>
      </w:rPr>
      <w:t>JJF</w:t>
    </w:r>
    <w:r>
      <w:rPr>
        <w:rFonts w:hint="eastAsia" w:ascii="黑体" w:hAnsi="黑体" w:eastAsia="黑体" w:cs="黑体"/>
        <w:b w:val="0"/>
        <w:bCs w:val="0"/>
        <w:sz w:val="21"/>
        <w:szCs w:val="21"/>
        <w:lang w:val="en-US" w:eastAsia="zh-CN"/>
      </w:rPr>
      <w:t xml:space="preserve"> XXX</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20XX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5F6B">
    <w:pPr>
      <w:pStyle w:val="14"/>
      <w:pBdr>
        <w:top w:val="none" w:color="auto" w:sz="0" w:space="1"/>
        <w:left w:val="none" w:color="auto" w:sz="0" w:space="4"/>
        <w:right w:val="none" w:color="auto" w:sz="0" w:space="4"/>
      </w:pBdr>
      <w:ind w:firstLine="0" w:firstLineChars="0"/>
      <w:rPr>
        <w:rFonts w:ascii="黑体" w:hAnsi="黑体" w:eastAsia="黑体"/>
        <w:sz w:val="21"/>
        <w:szCs w:val="21"/>
      </w:rPr>
    </w:pPr>
    <w:r>
      <w:rPr>
        <w:rFonts w:hint="eastAsia" w:ascii="黑体" w:hAnsi="黑体" w:eastAsia="黑体" w:cs="黑体"/>
        <w:b w:val="0"/>
        <w:bCs w:val="0"/>
        <w:sz w:val="21"/>
        <w:szCs w:val="21"/>
      </w:rPr>
      <w:t>JJF</w:t>
    </w:r>
    <w:r>
      <w:rPr>
        <w:rFonts w:hint="eastAsia" w:ascii="黑体" w:hAnsi="黑体" w:eastAsia="黑体" w:cs="黑体"/>
        <w:b w:val="0"/>
        <w:bCs w:val="0"/>
        <w:sz w:val="21"/>
        <w:szCs w:val="21"/>
        <w:lang w:val="en-US" w:eastAsia="zh-CN"/>
      </w:rPr>
      <w:t xml:space="preserve"> XXX</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A544">
    <w:pPr>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47"/>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YWEyODgzZGU3YTFmNmMwMWZkNTA1YzFiZDkzMzMifQ=="/>
  </w:docVars>
  <w:rsids>
    <w:rsidRoot w:val="00084FD2"/>
    <w:rsid w:val="0000279E"/>
    <w:rsid w:val="00005936"/>
    <w:rsid w:val="00006399"/>
    <w:rsid w:val="000064E4"/>
    <w:rsid w:val="00006C44"/>
    <w:rsid w:val="00007674"/>
    <w:rsid w:val="00012244"/>
    <w:rsid w:val="00013B80"/>
    <w:rsid w:val="000148CA"/>
    <w:rsid w:val="000152AD"/>
    <w:rsid w:val="000221BA"/>
    <w:rsid w:val="00023377"/>
    <w:rsid w:val="0002350F"/>
    <w:rsid w:val="00026D94"/>
    <w:rsid w:val="00031D9B"/>
    <w:rsid w:val="000331E7"/>
    <w:rsid w:val="000347BE"/>
    <w:rsid w:val="0003524C"/>
    <w:rsid w:val="00037F5D"/>
    <w:rsid w:val="00041456"/>
    <w:rsid w:val="000416D2"/>
    <w:rsid w:val="0004174A"/>
    <w:rsid w:val="00043020"/>
    <w:rsid w:val="00045908"/>
    <w:rsid w:val="00047048"/>
    <w:rsid w:val="00050AD2"/>
    <w:rsid w:val="000512DE"/>
    <w:rsid w:val="00051C19"/>
    <w:rsid w:val="00055000"/>
    <w:rsid w:val="00056B5C"/>
    <w:rsid w:val="00057A84"/>
    <w:rsid w:val="00057E60"/>
    <w:rsid w:val="00060269"/>
    <w:rsid w:val="0006073A"/>
    <w:rsid w:val="00060EBE"/>
    <w:rsid w:val="0006154F"/>
    <w:rsid w:val="00062449"/>
    <w:rsid w:val="000655B2"/>
    <w:rsid w:val="00074BF5"/>
    <w:rsid w:val="00076B69"/>
    <w:rsid w:val="00080D5C"/>
    <w:rsid w:val="00083828"/>
    <w:rsid w:val="00084FD2"/>
    <w:rsid w:val="00086CAE"/>
    <w:rsid w:val="000870DD"/>
    <w:rsid w:val="0009008B"/>
    <w:rsid w:val="0009075B"/>
    <w:rsid w:val="00094684"/>
    <w:rsid w:val="000959F5"/>
    <w:rsid w:val="00097862"/>
    <w:rsid w:val="000A1F14"/>
    <w:rsid w:val="000A3782"/>
    <w:rsid w:val="000B0EB0"/>
    <w:rsid w:val="000B1576"/>
    <w:rsid w:val="000B16A1"/>
    <w:rsid w:val="000B2FDB"/>
    <w:rsid w:val="000B3367"/>
    <w:rsid w:val="000B4496"/>
    <w:rsid w:val="000B4C84"/>
    <w:rsid w:val="000B6051"/>
    <w:rsid w:val="000C0920"/>
    <w:rsid w:val="000C3D9E"/>
    <w:rsid w:val="000C4100"/>
    <w:rsid w:val="000C6365"/>
    <w:rsid w:val="000C6BD0"/>
    <w:rsid w:val="000C7643"/>
    <w:rsid w:val="000D2250"/>
    <w:rsid w:val="000D2687"/>
    <w:rsid w:val="000D3016"/>
    <w:rsid w:val="000D4F53"/>
    <w:rsid w:val="000E14F1"/>
    <w:rsid w:val="000E1503"/>
    <w:rsid w:val="000E1A07"/>
    <w:rsid w:val="000E22A9"/>
    <w:rsid w:val="000E2B3D"/>
    <w:rsid w:val="000E3DDA"/>
    <w:rsid w:val="000E52A5"/>
    <w:rsid w:val="000F05F6"/>
    <w:rsid w:val="000F1B7A"/>
    <w:rsid w:val="000F4758"/>
    <w:rsid w:val="000F52AD"/>
    <w:rsid w:val="000F63A4"/>
    <w:rsid w:val="000F65E3"/>
    <w:rsid w:val="000F6AD8"/>
    <w:rsid w:val="00100FC2"/>
    <w:rsid w:val="0010182E"/>
    <w:rsid w:val="00103C61"/>
    <w:rsid w:val="001048A3"/>
    <w:rsid w:val="001075E7"/>
    <w:rsid w:val="00110015"/>
    <w:rsid w:val="001135BE"/>
    <w:rsid w:val="001141AA"/>
    <w:rsid w:val="00115190"/>
    <w:rsid w:val="00116DFD"/>
    <w:rsid w:val="0011702C"/>
    <w:rsid w:val="0011749D"/>
    <w:rsid w:val="00120EF6"/>
    <w:rsid w:val="0012139D"/>
    <w:rsid w:val="00121F34"/>
    <w:rsid w:val="001304D9"/>
    <w:rsid w:val="00131B19"/>
    <w:rsid w:val="00132ECD"/>
    <w:rsid w:val="001351FC"/>
    <w:rsid w:val="0013756F"/>
    <w:rsid w:val="00137A1D"/>
    <w:rsid w:val="00137A58"/>
    <w:rsid w:val="001423A8"/>
    <w:rsid w:val="00144447"/>
    <w:rsid w:val="00147C4D"/>
    <w:rsid w:val="00150ADF"/>
    <w:rsid w:val="001515FE"/>
    <w:rsid w:val="00151816"/>
    <w:rsid w:val="001539D7"/>
    <w:rsid w:val="001546A3"/>
    <w:rsid w:val="001558BB"/>
    <w:rsid w:val="00156222"/>
    <w:rsid w:val="00160176"/>
    <w:rsid w:val="00161388"/>
    <w:rsid w:val="00166088"/>
    <w:rsid w:val="00167852"/>
    <w:rsid w:val="001760D1"/>
    <w:rsid w:val="001779CE"/>
    <w:rsid w:val="00177FC5"/>
    <w:rsid w:val="001819F4"/>
    <w:rsid w:val="00182A5C"/>
    <w:rsid w:val="00183F19"/>
    <w:rsid w:val="001844CD"/>
    <w:rsid w:val="001847B4"/>
    <w:rsid w:val="001848AB"/>
    <w:rsid w:val="001850F3"/>
    <w:rsid w:val="00185E06"/>
    <w:rsid w:val="001862F1"/>
    <w:rsid w:val="0019308A"/>
    <w:rsid w:val="00193A68"/>
    <w:rsid w:val="00193BE4"/>
    <w:rsid w:val="00196FDF"/>
    <w:rsid w:val="001973B0"/>
    <w:rsid w:val="001A12F5"/>
    <w:rsid w:val="001A1BD0"/>
    <w:rsid w:val="001A3385"/>
    <w:rsid w:val="001A7448"/>
    <w:rsid w:val="001A7CBA"/>
    <w:rsid w:val="001B10D0"/>
    <w:rsid w:val="001B1ADE"/>
    <w:rsid w:val="001B2442"/>
    <w:rsid w:val="001B4695"/>
    <w:rsid w:val="001B518E"/>
    <w:rsid w:val="001C196F"/>
    <w:rsid w:val="001C1E09"/>
    <w:rsid w:val="001C2B25"/>
    <w:rsid w:val="001C5643"/>
    <w:rsid w:val="001D092F"/>
    <w:rsid w:val="001D110B"/>
    <w:rsid w:val="001D28D7"/>
    <w:rsid w:val="001D2C84"/>
    <w:rsid w:val="001D41AF"/>
    <w:rsid w:val="001D511C"/>
    <w:rsid w:val="001D5B4C"/>
    <w:rsid w:val="001D662C"/>
    <w:rsid w:val="001D7D2B"/>
    <w:rsid w:val="001E0C2C"/>
    <w:rsid w:val="001E2152"/>
    <w:rsid w:val="001E2CA9"/>
    <w:rsid w:val="001E382B"/>
    <w:rsid w:val="001E455B"/>
    <w:rsid w:val="001E489B"/>
    <w:rsid w:val="001E7F95"/>
    <w:rsid w:val="001F021F"/>
    <w:rsid w:val="001F3944"/>
    <w:rsid w:val="001F3D87"/>
    <w:rsid w:val="001F5238"/>
    <w:rsid w:val="001F55BB"/>
    <w:rsid w:val="0020119E"/>
    <w:rsid w:val="0020144F"/>
    <w:rsid w:val="00202378"/>
    <w:rsid w:val="002029B8"/>
    <w:rsid w:val="00203DDE"/>
    <w:rsid w:val="002050D6"/>
    <w:rsid w:val="002066C6"/>
    <w:rsid w:val="002130AE"/>
    <w:rsid w:val="00225423"/>
    <w:rsid w:val="00231A54"/>
    <w:rsid w:val="002330CD"/>
    <w:rsid w:val="00236A4D"/>
    <w:rsid w:val="00237508"/>
    <w:rsid w:val="00250377"/>
    <w:rsid w:val="002512ED"/>
    <w:rsid w:val="00251306"/>
    <w:rsid w:val="00254BDD"/>
    <w:rsid w:val="00256B4E"/>
    <w:rsid w:val="002577F5"/>
    <w:rsid w:val="0026118F"/>
    <w:rsid w:val="002628DD"/>
    <w:rsid w:val="00262A80"/>
    <w:rsid w:val="002668BB"/>
    <w:rsid w:val="0026720A"/>
    <w:rsid w:val="0027046C"/>
    <w:rsid w:val="00270DFB"/>
    <w:rsid w:val="0027122C"/>
    <w:rsid w:val="002712E3"/>
    <w:rsid w:val="00271ACF"/>
    <w:rsid w:val="002730B5"/>
    <w:rsid w:val="0027315E"/>
    <w:rsid w:val="00275250"/>
    <w:rsid w:val="00277358"/>
    <w:rsid w:val="00277CCD"/>
    <w:rsid w:val="002842BB"/>
    <w:rsid w:val="0028540A"/>
    <w:rsid w:val="00287836"/>
    <w:rsid w:val="0029395D"/>
    <w:rsid w:val="00293F89"/>
    <w:rsid w:val="0029624F"/>
    <w:rsid w:val="002A3560"/>
    <w:rsid w:val="002A7736"/>
    <w:rsid w:val="002B1864"/>
    <w:rsid w:val="002B2394"/>
    <w:rsid w:val="002B2C60"/>
    <w:rsid w:val="002B4BFA"/>
    <w:rsid w:val="002B565B"/>
    <w:rsid w:val="002C1EF2"/>
    <w:rsid w:val="002C3FC4"/>
    <w:rsid w:val="002C44D2"/>
    <w:rsid w:val="002C4B27"/>
    <w:rsid w:val="002C6FCD"/>
    <w:rsid w:val="002D365E"/>
    <w:rsid w:val="002D6693"/>
    <w:rsid w:val="002D68F3"/>
    <w:rsid w:val="002E28C0"/>
    <w:rsid w:val="002E2E93"/>
    <w:rsid w:val="002E3619"/>
    <w:rsid w:val="002E694F"/>
    <w:rsid w:val="002E6B84"/>
    <w:rsid w:val="002F1BF3"/>
    <w:rsid w:val="002F3864"/>
    <w:rsid w:val="002F398D"/>
    <w:rsid w:val="002F4813"/>
    <w:rsid w:val="002F496D"/>
    <w:rsid w:val="002F49DE"/>
    <w:rsid w:val="002F60CE"/>
    <w:rsid w:val="002F65DB"/>
    <w:rsid w:val="002F6D74"/>
    <w:rsid w:val="002F730B"/>
    <w:rsid w:val="00302757"/>
    <w:rsid w:val="0030453E"/>
    <w:rsid w:val="00304DA3"/>
    <w:rsid w:val="0030593D"/>
    <w:rsid w:val="003068D2"/>
    <w:rsid w:val="00310993"/>
    <w:rsid w:val="00310F8E"/>
    <w:rsid w:val="003118F7"/>
    <w:rsid w:val="003125BC"/>
    <w:rsid w:val="00314C7A"/>
    <w:rsid w:val="00315A1C"/>
    <w:rsid w:val="003178A5"/>
    <w:rsid w:val="00320F37"/>
    <w:rsid w:val="00324A93"/>
    <w:rsid w:val="0032616D"/>
    <w:rsid w:val="00327673"/>
    <w:rsid w:val="0033159F"/>
    <w:rsid w:val="003322DC"/>
    <w:rsid w:val="003327E9"/>
    <w:rsid w:val="003339BD"/>
    <w:rsid w:val="00336BC9"/>
    <w:rsid w:val="003401CA"/>
    <w:rsid w:val="003422FF"/>
    <w:rsid w:val="00343466"/>
    <w:rsid w:val="00343664"/>
    <w:rsid w:val="00345AD1"/>
    <w:rsid w:val="00345C37"/>
    <w:rsid w:val="003466D8"/>
    <w:rsid w:val="003467E9"/>
    <w:rsid w:val="0034756A"/>
    <w:rsid w:val="00351F03"/>
    <w:rsid w:val="00355344"/>
    <w:rsid w:val="0036239B"/>
    <w:rsid w:val="003636F3"/>
    <w:rsid w:val="003637F2"/>
    <w:rsid w:val="00364405"/>
    <w:rsid w:val="00365C76"/>
    <w:rsid w:val="00366D8B"/>
    <w:rsid w:val="0036714C"/>
    <w:rsid w:val="00370C8C"/>
    <w:rsid w:val="00372AC2"/>
    <w:rsid w:val="00372AD5"/>
    <w:rsid w:val="00372D93"/>
    <w:rsid w:val="003746F8"/>
    <w:rsid w:val="003772F8"/>
    <w:rsid w:val="00377893"/>
    <w:rsid w:val="0038202F"/>
    <w:rsid w:val="00382282"/>
    <w:rsid w:val="00384508"/>
    <w:rsid w:val="0039044A"/>
    <w:rsid w:val="0039068A"/>
    <w:rsid w:val="0039647F"/>
    <w:rsid w:val="0039757C"/>
    <w:rsid w:val="003976C7"/>
    <w:rsid w:val="00397820"/>
    <w:rsid w:val="00397F76"/>
    <w:rsid w:val="003A22EF"/>
    <w:rsid w:val="003A50F5"/>
    <w:rsid w:val="003A581C"/>
    <w:rsid w:val="003B0C6A"/>
    <w:rsid w:val="003B1853"/>
    <w:rsid w:val="003B2E93"/>
    <w:rsid w:val="003B400F"/>
    <w:rsid w:val="003B442C"/>
    <w:rsid w:val="003B4921"/>
    <w:rsid w:val="003B4F2F"/>
    <w:rsid w:val="003B5C58"/>
    <w:rsid w:val="003B6969"/>
    <w:rsid w:val="003C0DF2"/>
    <w:rsid w:val="003C14BE"/>
    <w:rsid w:val="003C2903"/>
    <w:rsid w:val="003C54C0"/>
    <w:rsid w:val="003C57F4"/>
    <w:rsid w:val="003D0200"/>
    <w:rsid w:val="003D0404"/>
    <w:rsid w:val="003D0B65"/>
    <w:rsid w:val="003D0F49"/>
    <w:rsid w:val="003D3F80"/>
    <w:rsid w:val="003D6A08"/>
    <w:rsid w:val="003E13F7"/>
    <w:rsid w:val="003E56BB"/>
    <w:rsid w:val="003E7B11"/>
    <w:rsid w:val="003F1C2F"/>
    <w:rsid w:val="003F2416"/>
    <w:rsid w:val="003F3C87"/>
    <w:rsid w:val="003F5291"/>
    <w:rsid w:val="003F5731"/>
    <w:rsid w:val="003F7B5E"/>
    <w:rsid w:val="00400E4C"/>
    <w:rsid w:val="00402179"/>
    <w:rsid w:val="00407227"/>
    <w:rsid w:val="00407E1E"/>
    <w:rsid w:val="00410A68"/>
    <w:rsid w:val="00410BBF"/>
    <w:rsid w:val="00412314"/>
    <w:rsid w:val="00413154"/>
    <w:rsid w:val="00413E02"/>
    <w:rsid w:val="004163E1"/>
    <w:rsid w:val="004207F2"/>
    <w:rsid w:val="00423FCD"/>
    <w:rsid w:val="00425B20"/>
    <w:rsid w:val="0042659E"/>
    <w:rsid w:val="004271B1"/>
    <w:rsid w:val="00427817"/>
    <w:rsid w:val="0042787D"/>
    <w:rsid w:val="00427F58"/>
    <w:rsid w:val="00430672"/>
    <w:rsid w:val="004318FD"/>
    <w:rsid w:val="00432427"/>
    <w:rsid w:val="00434292"/>
    <w:rsid w:val="0043456C"/>
    <w:rsid w:val="00436057"/>
    <w:rsid w:val="004379DA"/>
    <w:rsid w:val="0044110C"/>
    <w:rsid w:val="004415E7"/>
    <w:rsid w:val="00441F89"/>
    <w:rsid w:val="00442C67"/>
    <w:rsid w:val="00444805"/>
    <w:rsid w:val="0044490A"/>
    <w:rsid w:val="0044565A"/>
    <w:rsid w:val="00445B31"/>
    <w:rsid w:val="00445C34"/>
    <w:rsid w:val="0044609D"/>
    <w:rsid w:val="00450A28"/>
    <w:rsid w:val="00453642"/>
    <w:rsid w:val="00461DAB"/>
    <w:rsid w:val="0046574D"/>
    <w:rsid w:val="00465975"/>
    <w:rsid w:val="004659F1"/>
    <w:rsid w:val="0046652D"/>
    <w:rsid w:val="004717E7"/>
    <w:rsid w:val="00473768"/>
    <w:rsid w:val="00475FF1"/>
    <w:rsid w:val="00476392"/>
    <w:rsid w:val="00480862"/>
    <w:rsid w:val="00481797"/>
    <w:rsid w:val="00482D1D"/>
    <w:rsid w:val="00482FB0"/>
    <w:rsid w:val="004857AD"/>
    <w:rsid w:val="00487A5C"/>
    <w:rsid w:val="004901CC"/>
    <w:rsid w:val="004923C4"/>
    <w:rsid w:val="00492528"/>
    <w:rsid w:val="004952FE"/>
    <w:rsid w:val="00496D30"/>
    <w:rsid w:val="0049746E"/>
    <w:rsid w:val="00497A97"/>
    <w:rsid w:val="004A0FD4"/>
    <w:rsid w:val="004A6056"/>
    <w:rsid w:val="004A755C"/>
    <w:rsid w:val="004B08C6"/>
    <w:rsid w:val="004B2548"/>
    <w:rsid w:val="004B423D"/>
    <w:rsid w:val="004B43F5"/>
    <w:rsid w:val="004B5BDC"/>
    <w:rsid w:val="004B72C8"/>
    <w:rsid w:val="004C37DD"/>
    <w:rsid w:val="004D0076"/>
    <w:rsid w:val="004D17D0"/>
    <w:rsid w:val="004D3801"/>
    <w:rsid w:val="004D63EA"/>
    <w:rsid w:val="004E0927"/>
    <w:rsid w:val="004E0D90"/>
    <w:rsid w:val="004E3AAB"/>
    <w:rsid w:val="004E63A3"/>
    <w:rsid w:val="004E6415"/>
    <w:rsid w:val="004E7773"/>
    <w:rsid w:val="004F0FB1"/>
    <w:rsid w:val="004F2FCA"/>
    <w:rsid w:val="004F6D96"/>
    <w:rsid w:val="004F7DE4"/>
    <w:rsid w:val="00500216"/>
    <w:rsid w:val="005014F1"/>
    <w:rsid w:val="00501A70"/>
    <w:rsid w:val="00503420"/>
    <w:rsid w:val="00506F2F"/>
    <w:rsid w:val="005111D8"/>
    <w:rsid w:val="00511E31"/>
    <w:rsid w:val="00512502"/>
    <w:rsid w:val="00512D60"/>
    <w:rsid w:val="00515874"/>
    <w:rsid w:val="00516B0C"/>
    <w:rsid w:val="0051729A"/>
    <w:rsid w:val="005213D7"/>
    <w:rsid w:val="005238FC"/>
    <w:rsid w:val="00526EF1"/>
    <w:rsid w:val="00531BC9"/>
    <w:rsid w:val="00536669"/>
    <w:rsid w:val="00536CA4"/>
    <w:rsid w:val="005370E8"/>
    <w:rsid w:val="00540E1D"/>
    <w:rsid w:val="00541039"/>
    <w:rsid w:val="005446B6"/>
    <w:rsid w:val="00545F82"/>
    <w:rsid w:val="0054754B"/>
    <w:rsid w:val="00550A31"/>
    <w:rsid w:val="005510CE"/>
    <w:rsid w:val="00552692"/>
    <w:rsid w:val="005526C8"/>
    <w:rsid w:val="00556AF6"/>
    <w:rsid w:val="0056355C"/>
    <w:rsid w:val="00567FD9"/>
    <w:rsid w:val="0057034B"/>
    <w:rsid w:val="005703E2"/>
    <w:rsid w:val="00570EF4"/>
    <w:rsid w:val="00575295"/>
    <w:rsid w:val="005758AD"/>
    <w:rsid w:val="00577C51"/>
    <w:rsid w:val="005830D9"/>
    <w:rsid w:val="00586EF6"/>
    <w:rsid w:val="005A0610"/>
    <w:rsid w:val="005A0AAE"/>
    <w:rsid w:val="005A0B9B"/>
    <w:rsid w:val="005A2D7E"/>
    <w:rsid w:val="005A4846"/>
    <w:rsid w:val="005A5D10"/>
    <w:rsid w:val="005A644B"/>
    <w:rsid w:val="005B0BFE"/>
    <w:rsid w:val="005B3A92"/>
    <w:rsid w:val="005C1001"/>
    <w:rsid w:val="005C438B"/>
    <w:rsid w:val="005C4E15"/>
    <w:rsid w:val="005C62D5"/>
    <w:rsid w:val="005C69DF"/>
    <w:rsid w:val="005D2012"/>
    <w:rsid w:val="005D34DF"/>
    <w:rsid w:val="005D5827"/>
    <w:rsid w:val="005D5891"/>
    <w:rsid w:val="005E0B17"/>
    <w:rsid w:val="005E2F48"/>
    <w:rsid w:val="005E3DB2"/>
    <w:rsid w:val="005E58A0"/>
    <w:rsid w:val="005E5FEB"/>
    <w:rsid w:val="005E64AF"/>
    <w:rsid w:val="005F11AF"/>
    <w:rsid w:val="005F1A2E"/>
    <w:rsid w:val="005F3DB9"/>
    <w:rsid w:val="005F4B11"/>
    <w:rsid w:val="005F5021"/>
    <w:rsid w:val="005F55BD"/>
    <w:rsid w:val="00600D2D"/>
    <w:rsid w:val="00602710"/>
    <w:rsid w:val="00603274"/>
    <w:rsid w:val="00603EEA"/>
    <w:rsid w:val="00606FAC"/>
    <w:rsid w:val="00614A7D"/>
    <w:rsid w:val="00615341"/>
    <w:rsid w:val="00615396"/>
    <w:rsid w:val="00616548"/>
    <w:rsid w:val="006167F2"/>
    <w:rsid w:val="00617022"/>
    <w:rsid w:val="00626B48"/>
    <w:rsid w:val="00627372"/>
    <w:rsid w:val="0063039E"/>
    <w:rsid w:val="0063261B"/>
    <w:rsid w:val="006343EF"/>
    <w:rsid w:val="00636F70"/>
    <w:rsid w:val="00641EC2"/>
    <w:rsid w:val="00644525"/>
    <w:rsid w:val="006446D2"/>
    <w:rsid w:val="00653CD3"/>
    <w:rsid w:val="00657901"/>
    <w:rsid w:val="0066003F"/>
    <w:rsid w:val="00660171"/>
    <w:rsid w:val="00661E21"/>
    <w:rsid w:val="006639F7"/>
    <w:rsid w:val="00664B1B"/>
    <w:rsid w:val="00665760"/>
    <w:rsid w:val="00665F8B"/>
    <w:rsid w:val="006728F0"/>
    <w:rsid w:val="00672ABA"/>
    <w:rsid w:val="00674392"/>
    <w:rsid w:val="00674D18"/>
    <w:rsid w:val="00677567"/>
    <w:rsid w:val="006827C9"/>
    <w:rsid w:val="00684F54"/>
    <w:rsid w:val="00687876"/>
    <w:rsid w:val="00687F47"/>
    <w:rsid w:val="00695024"/>
    <w:rsid w:val="00697C3F"/>
    <w:rsid w:val="006A0226"/>
    <w:rsid w:val="006A0E86"/>
    <w:rsid w:val="006A2BC1"/>
    <w:rsid w:val="006A3BED"/>
    <w:rsid w:val="006A3E9E"/>
    <w:rsid w:val="006A5970"/>
    <w:rsid w:val="006B1646"/>
    <w:rsid w:val="006B1947"/>
    <w:rsid w:val="006B3FFF"/>
    <w:rsid w:val="006B4E87"/>
    <w:rsid w:val="006B6758"/>
    <w:rsid w:val="006C121C"/>
    <w:rsid w:val="006C3E3B"/>
    <w:rsid w:val="006C40DC"/>
    <w:rsid w:val="006C6838"/>
    <w:rsid w:val="006C7EEE"/>
    <w:rsid w:val="006C7FCC"/>
    <w:rsid w:val="006D1AD1"/>
    <w:rsid w:val="006D2A53"/>
    <w:rsid w:val="006D2A98"/>
    <w:rsid w:val="006D4518"/>
    <w:rsid w:val="006D53F1"/>
    <w:rsid w:val="006D62EA"/>
    <w:rsid w:val="006D722A"/>
    <w:rsid w:val="006E332A"/>
    <w:rsid w:val="006E3DE6"/>
    <w:rsid w:val="006E4805"/>
    <w:rsid w:val="006E4F5C"/>
    <w:rsid w:val="006E576E"/>
    <w:rsid w:val="006E66D4"/>
    <w:rsid w:val="006F1A87"/>
    <w:rsid w:val="006F1BB4"/>
    <w:rsid w:val="006F2D90"/>
    <w:rsid w:val="006F381A"/>
    <w:rsid w:val="006F5C68"/>
    <w:rsid w:val="006F684B"/>
    <w:rsid w:val="006F7618"/>
    <w:rsid w:val="006F79BA"/>
    <w:rsid w:val="007034F3"/>
    <w:rsid w:val="00703B5E"/>
    <w:rsid w:val="00705B36"/>
    <w:rsid w:val="00705C90"/>
    <w:rsid w:val="007110AB"/>
    <w:rsid w:val="007138BA"/>
    <w:rsid w:val="007141B4"/>
    <w:rsid w:val="007150A7"/>
    <w:rsid w:val="007165CF"/>
    <w:rsid w:val="007177A9"/>
    <w:rsid w:val="00717DC3"/>
    <w:rsid w:val="00724436"/>
    <w:rsid w:val="00725010"/>
    <w:rsid w:val="00726242"/>
    <w:rsid w:val="007344B1"/>
    <w:rsid w:val="00734E1F"/>
    <w:rsid w:val="0073504B"/>
    <w:rsid w:val="00735BFF"/>
    <w:rsid w:val="00737631"/>
    <w:rsid w:val="00740E5B"/>
    <w:rsid w:val="00741C84"/>
    <w:rsid w:val="00743BBB"/>
    <w:rsid w:val="007455F1"/>
    <w:rsid w:val="007469F4"/>
    <w:rsid w:val="00747B9F"/>
    <w:rsid w:val="007508F7"/>
    <w:rsid w:val="0075136E"/>
    <w:rsid w:val="0075617C"/>
    <w:rsid w:val="00760064"/>
    <w:rsid w:val="00763DD5"/>
    <w:rsid w:val="0076580A"/>
    <w:rsid w:val="007700FE"/>
    <w:rsid w:val="007757D1"/>
    <w:rsid w:val="00777F1D"/>
    <w:rsid w:val="00781479"/>
    <w:rsid w:val="007820BE"/>
    <w:rsid w:val="00786149"/>
    <w:rsid w:val="007902AA"/>
    <w:rsid w:val="00790481"/>
    <w:rsid w:val="007909CC"/>
    <w:rsid w:val="00791CDB"/>
    <w:rsid w:val="00792D7C"/>
    <w:rsid w:val="00792EA1"/>
    <w:rsid w:val="00793301"/>
    <w:rsid w:val="00794560"/>
    <w:rsid w:val="00797F42"/>
    <w:rsid w:val="007A36DF"/>
    <w:rsid w:val="007A5DF8"/>
    <w:rsid w:val="007B7E36"/>
    <w:rsid w:val="007C420A"/>
    <w:rsid w:val="007C5C18"/>
    <w:rsid w:val="007C6085"/>
    <w:rsid w:val="007C6B86"/>
    <w:rsid w:val="007C72C9"/>
    <w:rsid w:val="007D030A"/>
    <w:rsid w:val="007D113E"/>
    <w:rsid w:val="007D36C1"/>
    <w:rsid w:val="007D5973"/>
    <w:rsid w:val="007D7463"/>
    <w:rsid w:val="007E33BF"/>
    <w:rsid w:val="007F0423"/>
    <w:rsid w:val="007F0F89"/>
    <w:rsid w:val="007F3C8C"/>
    <w:rsid w:val="007F44CD"/>
    <w:rsid w:val="008038F2"/>
    <w:rsid w:val="008116E6"/>
    <w:rsid w:val="00812A5B"/>
    <w:rsid w:val="00812C7A"/>
    <w:rsid w:val="00812DEC"/>
    <w:rsid w:val="0081569B"/>
    <w:rsid w:val="00815E07"/>
    <w:rsid w:val="00816B38"/>
    <w:rsid w:val="00820739"/>
    <w:rsid w:val="00823285"/>
    <w:rsid w:val="00825111"/>
    <w:rsid w:val="00826679"/>
    <w:rsid w:val="00826FFF"/>
    <w:rsid w:val="008274B0"/>
    <w:rsid w:val="00827A06"/>
    <w:rsid w:val="00832380"/>
    <w:rsid w:val="00832686"/>
    <w:rsid w:val="00832A9B"/>
    <w:rsid w:val="00834F88"/>
    <w:rsid w:val="00835817"/>
    <w:rsid w:val="00836856"/>
    <w:rsid w:val="00840D87"/>
    <w:rsid w:val="00842DB1"/>
    <w:rsid w:val="00842FAE"/>
    <w:rsid w:val="00844E6F"/>
    <w:rsid w:val="008453EE"/>
    <w:rsid w:val="00860E39"/>
    <w:rsid w:val="00860FAB"/>
    <w:rsid w:val="008675BF"/>
    <w:rsid w:val="008676DC"/>
    <w:rsid w:val="00867D70"/>
    <w:rsid w:val="00871511"/>
    <w:rsid w:val="00871944"/>
    <w:rsid w:val="00871BE5"/>
    <w:rsid w:val="008721A4"/>
    <w:rsid w:val="0087334D"/>
    <w:rsid w:val="008734C7"/>
    <w:rsid w:val="008740AF"/>
    <w:rsid w:val="00874411"/>
    <w:rsid w:val="00874449"/>
    <w:rsid w:val="00874A87"/>
    <w:rsid w:val="00874F34"/>
    <w:rsid w:val="0087669E"/>
    <w:rsid w:val="00877767"/>
    <w:rsid w:val="0088337F"/>
    <w:rsid w:val="00883DAA"/>
    <w:rsid w:val="00884424"/>
    <w:rsid w:val="00884918"/>
    <w:rsid w:val="00893B32"/>
    <w:rsid w:val="00897325"/>
    <w:rsid w:val="008A35EC"/>
    <w:rsid w:val="008A3600"/>
    <w:rsid w:val="008A52EA"/>
    <w:rsid w:val="008A67EE"/>
    <w:rsid w:val="008A7EE8"/>
    <w:rsid w:val="008B16DD"/>
    <w:rsid w:val="008B2127"/>
    <w:rsid w:val="008B22DF"/>
    <w:rsid w:val="008B3646"/>
    <w:rsid w:val="008B3EBA"/>
    <w:rsid w:val="008B43B6"/>
    <w:rsid w:val="008B5779"/>
    <w:rsid w:val="008C4496"/>
    <w:rsid w:val="008C5EA9"/>
    <w:rsid w:val="008C69B6"/>
    <w:rsid w:val="008C74E9"/>
    <w:rsid w:val="008D015E"/>
    <w:rsid w:val="008D3BFA"/>
    <w:rsid w:val="008D62D0"/>
    <w:rsid w:val="008E00DF"/>
    <w:rsid w:val="008E0BAC"/>
    <w:rsid w:val="008E0C60"/>
    <w:rsid w:val="008E3AEA"/>
    <w:rsid w:val="008F1617"/>
    <w:rsid w:val="008F2195"/>
    <w:rsid w:val="008F27BC"/>
    <w:rsid w:val="008F2BAD"/>
    <w:rsid w:val="008F4C40"/>
    <w:rsid w:val="008F74F0"/>
    <w:rsid w:val="008F7D08"/>
    <w:rsid w:val="00900D06"/>
    <w:rsid w:val="00905BC8"/>
    <w:rsid w:val="009061D6"/>
    <w:rsid w:val="0090781D"/>
    <w:rsid w:val="00911CE4"/>
    <w:rsid w:val="00914690"/>
    <w:rsid w:val="00917E57"/>
    <w:rsid w:val="0092382C"/>
    <w:rsid w:val="00923F43"/>
    <w:rsid w:val="00924250"/>
    <w:rsid w:val="009243E6"/>
    <w:rsid w:val="00924ABA"/>
    <w:rsid w:val="00926B72"/>
    <w:rsid w:val="009309D5"/>
    <w:rsid w:val="00930B99"/>
    <w:rsid w:val="00933FCE"/>
    <w:rsid w:val="00934FBB"/>
    <w:rsid w:val="00935F6D"/>
    <w:rsid w:val="009432DC"/>
    <w:rsid w:val="0094368A"/>
    <w:rsid w:val="009444C2"/>
    <w:rsid w:val="00944F04"/>
    <w:rsid w:val="00945559"/>
    <w:rsid w:val="00947A98"/>
    <w:rsid w:val="00947E43"/>
    <w:rsid w:val="009516B9"/>
    <w:rsid w:val="00953C1B"/>
    <w:rsid w:val="0095416A"/>
    <w:rsid w:val="0095536A"/>
    <w:rsid w:val="009570BB"/>
    <w:rsid w:val="00957D2A"/>
    <w:rsid w:val="009670D8"/>
    <w:rsid w:val="00967C5E"/>
    <w:rsid w:val="0097241C"/>
    <w:rsid w:val="00974D85"/>
    <w:rsid w:val="00975530"/>
    <w:rsid w:val="00976A21"/>
    <w:rsid w:val="00982499"/>
    <w:rsid w:val="0098327B"/>
    <w:rsid w:val="0098400A"/>
    <w:rsid w:val="009919B9"/>
    <w:rsid w:val="0099248D"/>
    <w:rsid w:val="009925F3"/>
    <w:rsid w:val="009926AB"/>
    <w:rsid w:val="0099304B"/>
    <w:rsid w:val="0099784F"/>
    <w:rsid w:val="009A0064"/>
    <w:rsid w:val="009A2115"/>
    <w:rsid w:val="009A25E9"/>
    <w:rsid w:val="009A2FA0"/>
    <w:rsid w:val="009A3AA5"/>
    <w:rsid w:val="009A403E"/>
    <w:rsid w:val="009A4535"/>
    <w:rsid w:val="009A77C2"/>
    <w:rsid w:val="009A7B23"/>
    <w:rsid w:val="009B0C2A"/>
    <w:rsid w:val="009B2560"/>
    <w:rsid w:val="009B3FB4"/>
    <w:rsid w:val="009C166B"/>
    <w:rsid w:val="009C461D"/>
    <w:rsid w:val="009C5997"/>
    <w:rsid w:val="009C5BBB"/>
    <w:rsid w:val="009C7505"/>
    <w:rsid w:val="009D0C0A"/>
    <w:rsid w:val="009D0F58"/>
    <w:rsid w:val="009D167C"/>
    <w:rsid w:val="009E0004"/>
    <w:rsid w:val="009E200F"/>
    <w:rsid w:val="009E2A1A"/>
    <w:rsid w:val="009E3DB5"/>
    <w:rsid w:val="009E4901"/>
    <w:rsid w:val="009E5531"/>
    <w:rsid w:val="009E6070"/>
    <w:rsid w:val="009E6E96"/>
    <w:rsid w:val="009F3087"/>
    <w:rsid w:val="009F47F3"/>
    <w:rsid w:val="009F7727"/>
    <w:rsid w:val="00A02FC8"/>
    <w:rsid w:val="00A035F4"/>
    <w:rsid w:val="00A05F08"/>
    <w:rsid w:val="00A07AA7"/>
    <w:rsid w:val="00A10C6D"/>
    <w:rsid w:val="00A11F11"/>
    <w:rsid w:val="00A15D17"/>
    <w:rsid w:val="00A161E0"/>
    <w:rsid w:val="00A200E3"/>
    <w:rsid w:val="00A201DA"/>
    <w:rsid w:val="00A21A48"/>
    <w:rsid w:val="00A23F51"/>
    <w:rsid w:val="00A26E2E"/>
    <w:rsid w:val="00A33189"/>
    <w:rsid w:val="00A339A4"/>
    <w:rsid w:val="00A36DC5"/>
    <w:rsid w:val="00A408AB"/>
    <w:rsid w:val="00A40A66"/>
    <w:rsid w:val="00A420E0"/>
    <w:rsid w:val="00A42F47"/>
    <w:rsid w:val="00A43130"/>
    <w:rsid w:val="00A43CFB"/>
    <w:rsid w:val="00A44402"/>
    <w:rsid w:val="00A466BD"/>
    <w:rsid w:val="00A50A42"/>
    <w:rsid w:val="00A51C6A"/>
    <w:rsid w:val="00A53AEE"/>
    <w:rsid w:val="00A645B5"/>
    <w:rsid w:val="00A657F4"/>
    <w:rsid w:val="00A6588D"/>
    <w:rsid w:val="00A715BC"/>
    <w:rsid w:val="00A725BD"/>
    <w:rsid w:val="00A7641F"/>
    <w:rsid w:val="00A7751E"/>
    <w:rsid w:val="00A80E7B"/>
    <w:rsid w:val="00A81822"/>
    <w:rsid w:val="00A8509B"/>
    <w:rsid w:val="00A93A75"/>
    <w:rsid w:val="00A93B6E"/>
    <w:rsid w:val="00AA067F"/>
    <w:rsid w:val="00AA4973"/>
    <w:rsid w:val="00AA7699"/>
    <w:rsid w:val="00AB05A4"/>
    <w:rsid w:val="00AB082B"/>
    <w:rsid w:val="00AB1188"/>
    <w:rsid w:val="00AB139A"/>
    <w:rsid w:val="00AB3305"/>
    <w:rsid w:val="00AB4DE5"/>
    <w:rsid w:val="00AB7255"/>
    <w:rsid w:val="00AC32F3"/>
    <w:rsid w:val="00AC4F9A"/>
    <w:rsid w:val="00AC6271"/>
    <w:rsid w:val="00AD25D4"/>
    <w:rsid w:val="00AD323D"/>
    <w:rsid w:val="00AD376D"/>
    <w:rsid w:val="00AD4AEF"/>
    <w:rsid w:val="00AD7338"/>
    <w:rsid w:val="00AD745E"/>
    <w:rsid w:val="00AD78DA"/>
    <w:rsid w:val="00AD7AEE"/>
    <w:rsid w:val="00AD7CEB"/>
    <w:rsid w:val="00AE3095"/>
    <w:rsid w:val="00AE3224"/>
    <w:rsid w:val="00AE5738"/>
    <w:rsid w:val="00AE5F35"/>
    <w:rsid w:val="00AE6071"/>
    <w:rsid w:val="00AF23B2"/>
    <w:rsid w:val="00AF356D"/>
    <w:rsid w:val="00AF40F3"/>
    <w:rsid w:val="00AF4AB2"/>
    <w:rsid w:val="00AF580D"/>
    <w:rsid w:val="00B01D01"/>
    <w:rsid w:val="00B02C69"/>
    <w:rsid w:val="00B0426A"/>
    <w:rsid w:val="00B04B99"/>
    <w:rsid w:val="00B0738C"/>
    <w:rsid w:val="00B11449"/>
    <w:rsid w:val="00B12127"/>
    <w:rsid w:val="00B124F7"/>
    <w:rsid w:val="00B12687"/>
    <w:rsid w:val="00B15B92"/>
    <w:rsid w:val="00B3063D"/>
    <w:rsid w:val="00B30D33"/>
    <w:rsid w:val="00B30D59"/>
    <w:rsid w:val="00B3251E"/>
    <w:rsid w:val="00B34DEB"/>
    <w:rsid w:val="00B351B7"/>
    <w:rsid w:val="00B35447"/>
    <w:rsid w:val="00B406AA"/>
    <w:rsid w:val="00B410F2"/>
    <w:rsid w:val="00B418A4"/>
    <w:rsid w:val="00B418DF"/>
    <w:rsid w:val="00B441DB"/>
    <w:rsid w:val="00B4609A"/>
    <w:rsid w:val="00B46811"/>
    <w:rsid w:val="00B47945"/>
    <w:rsid w:val="00B50D03"/>
    <w:rsid w:val="00B5351F"/>
    <w:rsid w:val="00B55122"/>
    <w:rsid w:val="00B573AF"/>
    <w:rsid w:val="00B61B61"/>
    <w:rsid w:val="00B61B65"/>
    <w:rsid w:val="00B647E3"/>
    <w:rsid w:val="00B64DFA"/>
    <w:rsid w:val="00B65231"/>
    <w:rsid w:val="00B6774C"/>
    <w:rsid w:val="00B677F8"/>
    <w:rsid w:val="00B67C2A"/>
    <w:rsid w:val="00B67CFF"/>
    <w:rsid w:val="00B70BF0"/>
    <w:rsid w:val="00B72666"/>
    <w:rsid w:val="00B72B37"/>
    <w:rsid w:val="00B76650"/>
    <w:rsid w:val="00B80AB0"/>
    <w:rsid w:val="00B81D7A"/>
    <w:rsid w:val="00B82093"/>
    <w:rsid w:val="00B82408"/>
    <w:rsid w:val="00B83146"/>
    <w:rsid w:val="00B83C73"/>
    <w:rsid w:val="00B85444"/>
    <w:rsid w:val="00B8655C"/>
    <w:rsid w:val="00B9031B"/>
    <w:rsid w:val="00B90660"/>
    <w:rsid w:val="00B91E45"/>
    <w:rsid w:val="00B944E8"/>
    <w:rsid w:val="00B95369"/>
    <w:rsid w:val="00B95679"/>
    <w:rsid w:val="00B957BC"/>
    <w:rsid w:val="00B96BC0"/>
    <w:rsid w:val="00BB21A9"/>
    <w:rsid w:val="00BB3007"/>
    <w:rsid w:val="00BB332F"/>
    <w:rsid w:val="00BB37DA"/>
    <w:rsid w:val="00BB3FD4"/>
    <w:rsid w:val="00BC4FE5"/>
    <w:rsid w:val="00BC5911"/>
    <w:rsid w:val="00BD0CCF"/>
    <w:rsid w:val="00BD0F5A"/>
    <w:rsid w:val="00BD1142"/>
    <w:rsid w:val="00BD1CE7"/>
    <w:rsid w:val="00BD36D7"/>
    <w:rsid w:val="00BD5BC7"/>
    <w:rsid w:val="00BD701E"/>
    <w:rsid w:val="00BE24D9"/>
    <w:rsid w:val="00BE294F"/>
    <w:rsid w:val="00BE33A2"/>
    <w:rsid w:val="00BE3636"/>
    <w:rsid w:val="00BE40C2"/>
    <w:rsid w:val="00BE7C91"/>
    <w:rsid w:val="00BF0FDE"/>
    <w:rsid w:val="00BF32FB"/>
    <w:rsid w:val="00BF3C23"/>
    <w:rsid w:val="00BF52DD"/>
    <w:rsid w:val="00C006DC"/>
    <w:rsid w:val="00C01269"/>
    <w:rsid w:val="00C035F2"/>
    <w:rsid w:val="00C03B9E"/>
    <w:rsid w:val="00C07223"/>
    <w:rsid w:val="00C078D8"/>
    <w:rsid w:val="00C07F54"/>
    <w:rsid w:val="00C11360"/>
    <w:rsid w:val="00C13DF4"/>
    <w:rsid w:val="00C22AE2"/>
    <w:rsid w:val="00C230A1"/>
    <w:rsid w:val="00C243B4"/>
    <w:rsid w:val="00C31D9F"/>
    <w:rsid w:val="00C35E51"/>
    <w:rsid w:val="00C365F0"/>
    <w:rsid w:val="00C429F7"/>
    <w:rsid w:val="00C43FF0"/>
    <w:rsid w:val="00C4774E"/>
    <w:rsid w:val="00C52040"/>
    <w:rsid w:val="00C523AD"/>
    <w:rsid w:val="00C53532"/>
    <w:rsid w:val="00C54E63"/>
    <w:rsid w:val="00C617B7"/>
    <w:rsid w:val="00C639C5"/>
    <w:rsid w:val="00C647BF"/>
    <w:rsid w:val="00C67696"/>
    <w:rsid w:val="00C75D78"/>
    <w:rsid w:val="00C7655A"/>
    <w:rsid w:val="00C82F2D"/>
    <w:rsid w:val="00C84104"/>
    <w:rsid w:val="00C84120"/>
    <w:rsid w:val="00C86393"/>
    <w:rsid w:val="00C9036C"/>
    <w:rsid w:val="00C92749"/>
    <w:rsid w:val="00C93796"/>
    <w:rsid w:val="00C946B8"/>
    <w:rsid w:val="00C95B4E"/>
    <w:rsid w:val="00C9758E"/>
    <w:rsid w:val="00CA12E8"/>
    <w:rsid w:val="00CA29F9"/>
    <w:rsid w:val="00CB3DD8"/>
    <w:rsid w:val="00CB5A10"/>
    <w:rsid w:val="00CB78F5"/>
    <w:rsid w:val="00CC0405"/>
    <w:rsid w:val="00CC12CE"/>
    <w:rsid w:val="00CC3A99"/>
    <w:rsid w:val="00CC3B05"/>
    <w:rsid w:val="00CD0242"/>
    <w:rsid w:val="00CE06B8"/>
    <w:rsid w:val="00CE5514"/>
    <w:rsid w:val="00CF084A"/>
    <w:rsid w:val="00CF2F8E"/>
    <w:rsid w:val="00CF41EE"/>
    <w:rsid w:val="00CF426B"/>
    <w:rsid w:val="00CF447F"/>
    <w:rsid w:val="00CF7AE5"/>
    <w:rsid w:val="00CF7B7B"/>
    <w:rsid w:val="00D019FF"/>
    <w:rsid w:val="00D02C98"/>
    <w:rsid w:val="00D02D2C"/>
    <w:rsid w:val="00D0602E"/>
    <w:rsid w:val="00D074CA"/>
    <w:rsid w:val="00D125EC"/>
    <w:rsid w:val="00D149EC"/>
    <w:rsid w:val="00D15A9B"/>
    <w:rsid w:val="00D214EF"/>
    <w:rsid w:val="00D21D94"/>
    <w:rsid w:val="00D22415"/>
    <w:rsid w:val="00D255E8"/>
    <w:rsid w:val="00D313C5"/>
    <w:rsid w:val="00D32D36"/>
    <w:rsid w:val="00D34DE8"/>
    <w:rsid w:val="00D35E01"/>
    <w:rsid w:val="00D42532"/>
    <w:rsid w:val="00D44CB1"/>
    <w:rsid w:val="00D50EB1"/>
    <w:rsid w:val="00D51FF3"/>
    <w:rsid w:val="00D52B0C"/>
    <w:rsid w:val="00D53ABB"/>
    <w:rsid w:val="00D5491C"/>
    <w:rsid w:val="00D55D63"/>
    <w:rsid w:val="00D60EEC"/>
    <w:rsid w:val="00D61C01"/>
    <w:rsid w:val="00D64328"/>
    <w:rsid w:val="00D64A58"/>
    <w:rsid w:val="00D654D0"/>
    <w:rsid w:val="00D667C1"/>
    <w:rsid w:val="00D7094E"/>
    <w:rsid w:val="00D7306D"/>
    <w:rsid w:val="00D81881"/>
    <w:rsid w:val="00D82A1E"/>
    <w:rsid w:val="00D82E65"/>
    <w:rsid w:val="00D836B6"/>
    <w:rsid w:val="00D851E7"/>
    <w:rsid w:val="00D8711E"/>
    <w:rsid w:val="00D87539"/>
    <w:rsid w:val="00D87B14"/>
    <w:rsid w:val="00D92194"/>
    <w:rsid w:val="00DA033E"/>
    <w:rsid w:val="00DA1C19"/>
    <w:rsid w:val="00DA2964"/>
    <w:rsid w:val="00DA53B4"/>
    <w:rsid w:val="00DB02C6"/>
    <w:rsid w:val="00DB0D4E"/>
    <w:rsid w:val="00DB1DBF"/>
    <w:rsid w:val="00DB321A"/>
    <w:rsid w:val="00DB3510"/>
    <w:rsid w:val="00DB5F6B"/>
    <w:rsid w:val="00DB7B3A"/>
    <w:rsid w:val="00DC2B9B"/>
    <w:rsid w:val="00DC69D8"/>
    <w:rsid w:val="00DC79C0"/>
    <w:rsid w:val="00DD26C6"/>
    <w:rsid w:val="00DD303F"/>
    <w:rsid w:val="00DD701F"/>
    <w:rsid w:val="00DE1E63"/>
    <w:rsid w:val="00DE20EA"/>
    <w:rsid w:val="00DE371D"/>
    <w:rsid w:val="00DE558E"/>
    <w:rsid w:val="00DE7178"/>
    <w:rsid w:val="00DE73EE"/>
    <w:rsid w:val="00DE7AF0"/>
    <w:rsid w:val="00DF0895"/>
    <w:rsid w:val="00DF2997"/>
    <w:rsid w:val="00DF3573"/>
    <w:rsid w:val="00E0011A"/>
    <w:rsid w:val="00E03441"/>
    <w:rsid w:val="00E038E7"/>
    <w:rsid w:val="00E04C0E"/>
    <w:rsid w:val="00E05CF8"/>
    <w:rsid w:val="00E065DC"/>
    <w:rsid w:val="00E12BDE"/>
    <w:rsid w:val="00E16085"/>
    <w:rsid w:val="00E16B1D"/>
    <w:rsid w:val="00E17564"/>
    <w:rsid w:val="00E17A3C"/>
    <w:rsid w:val="00E23225"/>
    <w:rsid w:val="00E238E7"/>
    <w:rsid w:val="00E26A9F"/>
    <w:rsid w:val="00E272B3"/>
    <w:rsid w:val="00E3093F"/>
    <w:rsid w:val="00E30A7A"/>
    <w:rsid w:val="00E30AD7"/>
    <w:rsid w:val="00E31D80"/>
    <w:rsid w:val="00E3297D"/>
    <w:rsid w:val="00E3431B"/>
    <w:rsid w:val="00E36829"/>
    <w:rsid w:val="00E37ADF"/>
    <w:rsid w:val="00E37B52"/>
    <w:rsid w:val="00E4554B"/>
    <w:rsid w:val="00E46337"/>
    <w:rsid w:val="00E50F38"/>
    <w:rsid w:val="00E51E7A"/>
    <w:rsid w:val="00E52B8F"/>
    <w:rsid w:val="00E530AF"/>
    <w:rsid w:val="00E61463"/>
    <w:rsid w:val="00E7082A"/>
    <w:rsid w:val="00E70BFB"/>
    <w:rsid w:val="00E71FAC"/>
    <w:rsid w:val="00E72E2B"/>
    <w:rsid w:val="00E837EE"/>
    <w:rsid w:val="00E84EE6"/>
    <w:rsid w:val="00E91D3A"/>
    <w:rsid w:val="00E92D81"/>
    <w:rsid w:val="00E9483B"/>
    <w:rsid w:val="00E957B6"/>
    <w:rsid w:val="00E967D1"/>
    <w:rsid w:val="00E96ADD"/>
    <w:rsid w:val="00EA165C"/>
    <w:rsid w:val="00EA2BBE"/>
    <w:rsid w:val="00EA56CD"/>
    <w:rsid w:val="00EB468B"/>
    <w:rsid w:val="00EB56EA"/>
    <w:rsid w:val="00EB6354"/>
    <w:rsid w:val="00EB7DF0"/>
    <w:rsid w:val="00EC0AC2"/>
    <w:rsid w:val="00EC21FD"/>
    <w:rsid w:val="00EC2E67"/>
    <w:rsid w:val="00EC64D6"/>
    <w:rsid w:val="00EC685F"/>
    <w:rsid w:val="00EC6C4B"/>
    <w:rsid w:val="00EC7ADB"/>
    <w:rsid w:val="00ED1DFB"/>
    <w:rsid w:val="00ED20D3"/>
    <w:rsid w:val="00ED20DB"/>
    <w:rsid w:val="00ED3A57"/>
    <w:rsid w:val="00ED4E20"/>
    <w:rsid w:val="00ED6F49"/>
    <w:rsid w:val="00ED7CC7"/>
    <w:rsid w:val="00EE0256"/>
    <w:rsid w:val="00EE06CD"/>
    <w:rsid w:val="00EE0A69"/>
    <w:rsid w:val="00EE1FD8"/>
    <w:rsid w:val="00EE24B1"/>
    <w:rsid w:val="00EE5343"/>
    <w:rsid w:val="00EE5356"/>
    <w:rsid w:val="00EE775E"/>
    <w:rsid w:val="00EF0DDA"/>
    <w:rsid w:val="00EF28CF"/>
    <w:rsid w:val="00EF3957"/>
    <w:rsid w:val="00EF3C33"/>
    <w:rsid w:val="00EF5F71"/>
    <w:rsid w:val="00EF6EB2"/>
    <w:rsid w:val="00F01F04"/>
    <w:rsid w:val="00F02D49"/>
    <w:rsid w:val="00F033EF"/>
    <w:rsid w:val="00F17833"/>
    <w:rsid w:val="00F17E8F"/>
    <w:rsid w:val="00F214BC"/>
    <w:rsid w:val="00F227C6"/>
    <w:rsid w:val="00F27167"/>
    <w:rsid w:val="00F3184F"/>
    <w:rsid w:val="00F3417D"/>
    <w:rsid w:val="00F406A7"/>
    <w:rsid w:val="00F4335C"/>
    <w:rsid w:val="00F47AB6"/>
    <w:rsid w:val="00F508D5"/>
    <w:rsid w:val="00F52C1C"/>
    <w:rsid w:val="00F53769"/>
    <w:rsid w:val="00F54A6F"/>
    <w:rsid w:val="00F5604B"/>
    <w:rsid w:val="00F5679A"/>
    <w:rsid w:val="00F569C7"/>
    <w:rsid w:val="00F56C56"/>
    <w:rsid w:val="00F61699"/>
    <w:rsid w:val="00F64CD3"/>
    <w:rsid w:val="00F73689"/>
    <w:rsid w:val="00F74A96"/>
    <w:rsid w:val="00F75B0D"/>
    <w:rsid w:val="00F76F07"/>
    <w:rsid w:val="00F80958"/>
    <w:rsid w:val="00F81760"/>
    <w:rsid w:val="00F82A74"/>
    <w:rsid w:val="00F83EAC"/>
    <w:rsid w:val="00F83FB0"/>
    <w:rsid w:val="00F84317"/>
    <w:rsid w:val="00F845C7"/>
    <w:rsid w:val="00F90293"/>
    <w:rsid w:val="00F95484"/>
    <w:rsid w:val="00F961A1"/>
    <w:rsid w:val="00FA16B0"/>
    <w:rsid w:val="00FA19D5"/>
    <w:rsid w:val="00FA5E50"/>
    <w:rsid w:val="00FB0A25"/>
    <w:rsid w:val="00FB1721"/>
    <w:rsid w:val="00FB374A"/>
    <w:rsid w:val="00FB43DB"/>
    <w:rsid w:val="00FB6AC2"/>
    <w:rsid w:val="00FC2F86"/>
    <w:rsid w:val="00FC533A"/>
    <w:rsid w:val="00FD0421"/>
    <w:rsid w:val="00FD1F04"/>
    <w:rsid w:val="00FD27DF"/>
    <w:rsid w:val="00FD2E4B"/>
    <w:rsid w:val="00FD345B"/>
    <w:rsid w:val="00FD51BF"/>
    <w:rsid w:val="00FD5450"/>
    <w:rsid w:val="00FD6821"/>
    <w:rsid w:val="00FD75AD"/>
    <w:rsid w:val="00FD7902"/>
    <w:rsid w:val="00FE0280"/>
    <w:rsid w:val="00FE1029"/>
    <w:rsid w:val="00FE10D5"/>
    <w:rsid w:val="00FE1B14"/>
    <w:rsid w:val="00FE1DB6"/>
    <w:rsid w:val="00FE29A7"/>
    <w:rsid w:val="00FF33FE"/>
    <w:rsid w:val="00FF3415"/>
    <w:rsid w:val="01037FCE"/>
    <w:rsid w:val="01066A48"/>
    <w:rsid w:val="01121891"/>
    <w:rsid w:val="01145609"/>
    <w:rsid w:val="011E2B20"/>
    <w:rsid w:val="011F6874"/>
    <w:rsid w:val="01257E97"/>
    <w:rsid w:val="01266BA0"/>
    <w:rsid w:val="013722F8"/>
    <w:rsid w:val="01497EE1"/>
    <w:rsid w:val="01581D21"/>
    <w:rsid w:val="015C2B0C"/>
    <w:rsid w:val="015E25E9"/>
    <w:rsid w:val="01767863"/>
    <w:rsid w:val="018067FB"/>
    <w:rsid w:val="01891CDE"/>
    <w:rsid w:val="018B4E39"/>
    <w:rsid w:val="018C0207"/>
    <w:rsid w:val="019318DA"/>
    <w:rsid w:val="019E2F78"/>
    <w:rsid w:val="01AB7E6D"/>
    <w:rsid w:val="01AC65C1"/>
    <w:rsid w:val="01B60220"/>
    <w:rsid w:val="01BF597A"/>
    <w:rsid w:val="01C42B8B"/>
    <w:rsid w:val="01D51583"/>
    <w:rsid w:val="01E6756F"/>
    <w:rsid w:val="01EC5C3E"/>
    <w:rsid w:val="01FB0149"/>
    <w:rsid w:val="020B3EAB"/>
    <w:rsid w:val="02163A18"/>
    <w:rsid w:val="021B2B09"/>
    <w:rsid w:val="021C695D"/>
    <w:rsid w:val="021F6013"/>
    <w:rsid w:val="02203B3A"/>
    <w:rsid w:val="02282203"/>
    <w:rsid w:val="02323935"/>
    <w:rsid w:val="02455446"/>
    <w:rsid w:val="02470BC4"/>
    <w:rsid w:val="024B5C25"/>
    <w:rsid w:val="02500680"/>
    <w:rsid w:val="02533F0F"/>
    <w:rsid w:val="026D0785"/>
    <w:rsid w:val="026F7A10"/>
    <w:rsid w:val="027520D7"/>
    <w:rsid w:val="02830CA6"/>
    <w:rsid w:val="02855A9F"/>
    <w:rsid w:val="028B36A9"/>
    <w:rsid w:val="029853A9"/>
    <w:rsid w:val="029C134B"/>
    <w:rsid w:val="029D66E7"/>
    <w:rsid w:val="02A824AD"/>
    <w:rsid w:val="02C170CB"/>
    <w:rsid w:val="02C2008D"/>
    <w:rsid w:val="02C60B85"/>
    <w:rsid w:val="02CB114D"/>
    <w:rsid w:val="02CD0E87"/>
    <w:rsid w:val="02DE0DBE"/>
    <w:rsid w:val="02EA018D"/>
    <w:rsid w:val="02EA6BB6"/>
    <w:rsid w:val="02F301F5"/>
    <w:rsid w:val="02F75BB9"/>
    <w:rsid w:val="02F963C2"/>
    <w:rsid w:val="02F96F95"/>
    <w:rsid w:val="02FE7B97"/>
    <w:rsid w:val="030376E3"/>
    <w:rsid w:val="03084A53"/>
    <w:rsid w:val="030C0C01"/>
    <w:rsid w:val="031033AD"/>
    <w:rsid w:val="031D6C66"/>
    <w:rsid w:val="03200295"/>
    <w:rsid w:val="032140C2"/>
    <w:rsid w:val="03222D65"/>
    <w:rsid w:val="033929FB"/>
    <w:rsid w:val="033C2BF5"/>
    <w:rsid w:val="034258CD"/>
    <w:rsid w:val="034D66F0"/>
    <w:rsid w:val="03501E80"/>
    <w:rsid w:val="03515731"/>
    <w:rsid w:val="03636925"/>
    <w:rsid w:val="036642B8"/>
    <w:rsid w:val="03675EC4"/>
    <w:rsid w:val="03741749"/>
    <w:rsid w:val="03836A76"/>
    <w:rsid w:val="03856C72"/>
    <w:rsid w:val="03A976F9"/>
    <w:rsid w:val="03AA1059"/>
    <w:rsid w:val="03B44E81"/>
    <w:rsid w:val="03C508D1"/>
    <w:rsid w:val="03C64BF9"/>
    <w:rsid w:val="03C86237"/>
    <w:rsid w:val="03CC21CB"/>
    <w:rsid w:val="03E653BA"/>
    <w:rsid w:val="03E76B4B"/>
    <w:rsid w:val="03EC2059"/>
    <w:rsid w:val="03F36964"/>
    <w:rsid w:val="03FD2B64"/>
    <w:rsid w:val="04094F94"/>
    <w:rsid w:val="041D757B"/>
    <w:rsid w:val="042036BA"/>
    <w:rsid w:val="042711AF"/>
    <w:rsid w:val="042F0736"/>
    <w:rsid w:val="043173BC"/>
    <w:rsid w:val="04361B35"/>
    <w:rsid w:val="04362FAE"/>
    <w:rsid w:val="04395D4E"/>
    <w:rsid w:val="043E3C01"/>
    <w:rsid w:val="044B1342"/>
    <w:rsid w:val="04527182"/>
    <w:rsid w:val="04610B65"/>
    <w:rsid w:val="046C0285"/>
    <w:rsid w:val="04717F2B"/>
    <w:rsid w:val="04726FC9"/>
    <w:rsid w:val="047843CC"/>
    <w:rsid w:val="048F3953"/>
    <w:rsid w:val="049171EC"/>
    <w:rsid w:val="04A70AE6"/>
    <w:rsid w:val="04AB1B35"/>
    <w:rsid w:val="04AC3FFB"/>
    <w:rsid w:val="04AD00AF"/>
    <w:rsid w:val="04C3631B"/>
    <w:rsid w:val="04C74740"/>
    <w:rsid w:val="04CF733E"/>
    <w:rsid w:val="04D355BB"/>
    <w:rsid w:val="04E874F1"/>
    <w:rsid w:val="050553DD"/>
    <w:rsid w:val="05065519"/>
    <w:rsid w:val="050F0556"/>
    <w:rsid w:val="05203BF5"/>
    <w:rsid w:val="05243941"/>
    <w:rsid w:val="052B4CCF"/>
    <w:rsid w:val="052E6856"/>
    <w:rsid w:val="053973EC"/>
    <w:rsid w:val="053C0C8A"/>
    <w:rsid w:val="053F18F4"/>
    <w:rsid w:val="05423A3B"/>
    <w:rsid w:val="054D704E"/>
    <w:rsid w:val="05500B8B"/>
    <w:rsid w:val="05557F9E"/>
    <w:rsid w:val="05575415"/>
    <w:rsid w:val="05691010"/>
    <w:rsid w:val="056D353A"/>
    <w:rsid w:val="0579077C"/>
    <w:rsid w:val="057E74F5"/>
    <w:rsid w:val="05883ED0"/>
    <w:rsid w:val="058A1712"/>
    <w:rsid w:val="059B00A7"/>
    <w:rsid w:val="05AB7BBE"/>
    <w:rsid w:val="05AD62B2"/>
    <w:rsid w:val="05B60A3D"/>
    <w:rsid w:val="05B80EE6"/>
    <w:rsid w:val="05BE00C9"/>
    <w:rsid w:val="05C14CD8"/>
    <w:rsid w:val="05D15877"/>
    <w:rsid w:val="05DE6BA8"/>
    <w:rsid w:val="05E03D0C"/>
    <w:rsid w:val="05E17BE7"/>
    <w:rsid w:val="05E56DA8"/>
    <w:rsid w:val="05EC5A03"/>
    <w:rsid w:val="05F05097"/>
    <w:rsid w:val="05F95866"/>
    <w:rsid w:val="05FB5799"/>
    <w:rsid w:val="05FE23E4"/>
    <w:rsid w:val="062020F6"/>
    <w:rsid w:val="06265F81"/>
    <w:rsid w:val="062C51B8"/>
    <w:rsid w:val="062F6A41"/>
    <w:rsid w:val="063655AF"/>
    <w:rsid w:val="0637580D"/>
    <w:rsid w:val="064E36F5"/>
    <w:rsid w:val="066B3A10"/>
    <w:rsid w:val="066E30C6"/>
    <w:rsid w:val="06782196"/>
    <w:rsid w:val="06822A28"/>
    <w:rsid w:val="06896709"/>
    <w:rsid w:val="069A4D4C"/>
    <w:rsid w:val="069F5975"/>
    <w:rsid w:val="069F7723"/>
    <w:rsid w:val="06A0270F"/>
    <w:rsid w:val="06A113CF"/>
    <w:rsid w:val="06A42F8B"/>
    <w:rsid w:val="06A9436C"/>
    <w:rsid w:val="06B34246"/>
    <w:rsid w:val="06BD229F"/>
    <w:rsid w:val="06C248AF"/>
    <w:rsid w:val="06C40265"/>
    <w:rsid w:val="06CA0811"/>
    <w:rsid w:val="06CE1941"/>
    <w:rsid w:val="06DC2F75"/>
    <w:rsid w:val="06E578AA"/>
    <w:rsid w:val="06E64D19"/>
    <w:rsid w:val="06E7207B"/>
    <w:rsid w:val="06EC7FE3"/>
    <w:rsid w:val="06F37A6F"/>
    <w:rsid w:val="06F537E7"/>
    <w:rsid w:val="06F57207"/>
    <w:rsid w:val="06F66F04"/>
    <w:rsid w:val="06FF01C2"/>
    <w:rsid w:val="0706742D"/>
    <w:rsid w:val="070E2AFA"/>
    <w:rsid w:val="07191FAE"/>
    <w:rsid w:val="071A4FFB"/>
    <w:rsid w:val="071D53FA"/>
    <w:rsid w:val="071F6AB6"/>
    <w:rsid w:val="07240CA4"/>
    <w:rsid w:val="072F5A71"/>
    <w:rsid w:val="07301F54"/>
    <w:rsid w:val="07337386"/>
    <w:rsid w:val="073826E8"/>
    <w:rsid w:val="073A569E"/>
    <w:rsid w:val="073C31C4"/>
    <w:rsid w:val="073F0C3F"/>
    <w:rsid w:val="07411549"/>
    <w:rsid w:val="0766319E"/>
    <w:rsid w:val="07684896"/>
    <w:rsid w:val="077272BB"/>
    <w:rsid w:val="077412E6"/>
    <w:rsid w:val="077A390C"/>
    <w:rsid w:val="077F5D6E"/>
    <w:rsid w:val="07930CFC"/>
    <w:rsid w:val="07930DD1"/>
    <w:rsid w:val="079D75B6"/>
    <w:rsid w:val="07A019A5"/>
    <w:rsid w:val="07A70F85"/>
    <w:rsid w:val="07AD7099"/>
    <w:rsid w:val="07B859AB"/>
    <w:rsid w:val="07BE62CF"/>
    <w:rsid w:val="07C37441"/>
    <w:rsid w:val="07CA6A21"/>
    <w:rsid w:val="07DC0503"/>
    <w:rsid w:val="07E02287"/>
    <w:rsid w:val="07F17CF5"/>
    <w:rsid w:val="07F9639C"/>
    <w:rsid w:val="080C4FAE"/>
    <w:rsid w:val="081A5110"/>
    <w:rsid w:val="082408DC"/>
    <w:rsid w:val="083E2F6B"/>
    <w:rsid w:val="08470072"/>
    <w:rsid w:val="084C499A"/>
    <w:rsid w:val="084D31AF"/>
    <w:rsid w:val="084D64B4"/>
    <w:rsid w:val="084E217E"/>
    <w:rsid w:val="0852067A"/>
    <w:rsid w:val="085256F7"/>
    <w:rsid w:val="085415C0"/>
    <w:rsid w:val="086846EB"/>
    <w:rsid w:val="086C0826"/>
    <w:rsid w:val="08793FA4"/>
    <w:rsid w:val="087C3B4F"/>
    <w:rsid w:val="088C0AE9"/>
    <w:rsid w:val="0891753F"/>
    <w:rsid w:val="08962DA7"/>
    <w:rsid w:val="089C36F7"/>
    <w:rsid w:val="08AB2604"/>
    <w:rsid w:val="08B4171B"/>
    <w:rsid w:val="08B55AB0"/>
    <w:rsid w:val="08BC06EE"/>
    <w:rsid w:val="08BC7D6C"/>
    <w:rsid w:val="08C15A9C"/>
    <w:rsid w:val="08D01484"/>
    <w:rsid w:val="08EA6906"/>
    <w:rsid w:val="08EB220C"/>
    <w:rsid w:val="08F65462"/>
    <w:rsid w:val="08FD21F1"/>
    <w:rsid w:val="090C3B2A"/>
    <w:rsid w:val="090D7B81"/>
    <w:rsid w:val="090F06DF"/>
    <w:rsid w:val="091305B3"/>
    <w:rsid w:val="091A296D"/>
    <w:rsid w:val="091E5277"/>
    <w:rsid w:val="092B58D3"/>
    <w:rsid w:val="092B753B"/>
    <w:rsid w:val="09471BC4"/>
    <w:rsid w:val="094B47B9"/>
    <w:rsid w:val="094D4EB0"/>
    <w:rsid w:val="09570789"/>
    <w:rsid w:val="095751E8"/>
    <w:rsid w:val="095B334F"/>
    <w:rsid w:val="096E1BCE"/>
    <w:rsid w:val="096E3526"/>
    <w:rsid w:val="09700D6D"/>
    <w:rsid w:val="09796030"/>
    <w:rsid w:val="099728B0"/>
    <w:rsid w:val="09A61162"/>
    <w:rsid w:val="09A7158E"/>
    <w:rsid w:val="09A727B4"/>
    <w:rsid w:val="09BB1F27"/>
    <w:rsid w:val="09C07C09"/>
    <w:rsid w:val="09C35E1E"/>
    <w:rsid w:val="09C4201A"/>
    <w:rsid w:val="09C75BC4"/>
    <w:rsid w:val="09CA0E32"/>
    <w:rsid w:val="09CE076D"/>
    <w:rsid w:val="09D72B90"/>
    <w:rsid w:val="09DC5015"/>
    <w:rsid w:val="09DD35D7"/>
    <w:rsid w:val="09F14739"/>
    <w:rsid w:val="09FB7299"/>
    <w:rsid w:val="0A1977EC"/>
    <w:rsid w:val="0A1A2DD3"/>
    <w:rsid w:val="0A287A2F"/>
    <w:rsid w:val="0A2F7720"/>
    <w:rsid w:val="0A3F06A1"/>
    <w:rsid w:val="0A5C0058"/>
    <w:rsid w:val="0A6A065A"/>
    <w:rsid w:val="0A701CDF"/>
    <w:rsid w:val="0A7B04A7"/>
    <w:rsid w:val="0A7B6CF0"/>
    <w:rsid w:val="0A876BAF"/>
    <w:rsid w:val="0A892B17"/>
    <w:rsid w:val="0A961BE9"/>
    <w:rsid w:val="0A9B46A5"/>
    <w:rsid w:val="0A9D666F"/>
    <w:rsid w:val="0A9E628B"/>
    <w:rsid w:val="0AA97B42"/>
    <w:rsid w:val="0AB16C8F"/>
    <w:rsid w:val="0AC41E4E"/>
    <w:rsid w:val="0AE15440"/>
    <w:rsid w:val="0AE66EEE"/>
    <w:rsid w:val="0AEC5875"/>
    <w:rsid w:val="0AED1037"/>
    <w:rsid w:val="0AEE0C79"/>
    <w:rsid w:val="0B0B5A40"/>
    <w:rsid w:val="0B0F625E"/>
    <w:rsid w:val="0B114967"/>
    <w:rsid w:val="0B174754"/>
    <w:rsid w:val="0B17710A"/>
    <w:rsid w:val="0B1C6119"/>
    <w:rsid w:val="0B2E060E"/>
    <w:rsid w:val="0B2E72C7"/>
    <w:rsid w:val="0B351576"/>
    <w:rsid w:val="0B354AFA"/>
    <w:rsid w:val="0B435348"/>
    <w:rsid w:val="0B4618EE"/>
    <w:rsid w:val="0B4E4628"/>
    <w:rsid w:val="0B543E17"/>
    <w:rsid w:val="0B5A4560"/>
    <w:rsid w:val="0B5C6744"/>
    <w:rsid w:val="0B5E5BC1"/>
    <w:rsid w:val="0B624851"/>
    <w:rsid w:val="0B6B2557"/>
    <w:rsid w:val="0B715C00"/>
    <w:rsid w:val="0B744A0F"/>
    <w:rsid w:val="0B86052B"/>
    <w:rsid w:val="0B9064DD"/>
    <w:rsid w:val="0B975C82"/>
    <w:rsid w:val="0B983BF0"/>
    <w:rsid w:val="0B992DFC"/>
    <w:rsid w:val="0BA47E4A"/>
    <w:rsid w:val="0BB002DA"/>
    <w:rsid w:val="0BBC0D77"/>
    <w:rsid w:val="0BBE689D"/>
    <w:rsid w:val="0BD87233"/>
    <w:rsid w:val="0BE04721"/>
    <w:rsid w:val="0BE91440"/>
    <w:rsid w:val="0BF321FD"/>
    <w:rsid w:val="0BF422BF"/>
    <w:rsid w:val="0C0544CC"/>
    <w:rsid w:val="0C0D1B74"/>
    <w:rsid w:val="0C0D2BC5"/>
    <w:rsid w:val="0C0D4F35"/>
    <w:rsid w:val="0C1B5CD7"/>
    <w:rsid w:val="0C1C1816"/>
    <w:rsid w:val="0C1E687D"/>
    <w:rsid w:val="0C1F68D9"/>
    <w:rsid w:val="0C216E2C"/>
    <w:rsid w:val="0C281F69"/>
    <w:rsid w:val="0C286D47"/>
    <w:rsid w:val="0C32483F"/>
    <w:rsid w:val="0C353E22"/>
    <w:rsid w:val="0C3B6140"/>
    <w:rsid w:val="0C5229A1"/>
    <w:rsid w:val="0C671112"/>
    <w:rsid w:val="0C6E3991"/>
    <w:rsid w:val="0C8278CB"/>
    <w:rsid w:val="0C8A49D1"/>
    <w:rsid w:val="0C985340"/>
    <w:rsid w:val="0C9B3A28"/>
    <w:rsid w:val="0CAC4AA4"/>
    <w:rsid w:val="0CAD246E"/>
    <w:rsid w:val="0CCC4FEA"/>
    <w:rsid w:val="0CCD04B9"/>
    <w:rsid w:val="0CD020DE"/>
    <w:rsid w:val="0CDD0C11"/>
    <w:rsid w:val="0CE177DF"/>
    <w:rsid w:val="0CFA1EA7"/>
    <w:rsid w:val="0CFB27FC"/>
    <w:rsid w:val="0CFD6D54"/>
    <w:rsid w:val="0D045848"/>
    <w:rsid w:val="0D097B23"/>
    <w:rsid w:val="0D116EA1"/>
    <w:rsid w:val="0D1656CF"/>
    <w:rsid w:val="0D1D1A9F"/>
    <w:rsid w:val="0D227B5A"/>
    <w:rsid w:val="0D2B53D5"/>
    <w:rsid w:val="0D377A32"/>
    <w:rsid w:val="0D3C216F"/>
    <w:rsid w:val="0D426857"/>
    <w:rsid w:val="0D554FDF"/>
    <w:rsid w:val="0D6132AB"/>
    <w:rsid w:val="0D6E60A1"/>
    <w:rsid w:val="0D8728F8"/>
    <w:rsid w:val="0D8E738F"/>
    <w:rsid w:val="0D981362"/>
    <w:rsid w:val="0D9F2086"/>
    <w:rsid w:val="0DAB6944"/>
    <w:rsid w:val="0DB576FF"/>
    <w:rsid w:val="0DBC0494"/>
    <w:rsid w:val="0DBE2B84"/>
    <w:rsid w:val="0DCA640C"/>
    <w:rsid w:val="0DDD10DD"/>
    <w:rsid w:val="0DE23676"/>
    <w:rsid w:val="0DE25CFA"/>
    <w:rsid w:val="0DE40111"/>
    <w:rsid w:val="0DEA0A00"/>
    <w:rsid w:val="0DF45B9F"/>
    <w:rsid w:val="0DFD6935"/>
    <w:rsid w:val="0DFE5677"/>
    <w:rsid w:val="0DFF4F4B"/>
    <w:rsid w:val="0E0E030C"/>
    <w:rsid w:val="0E12083E"/>
    <w:rsid w:val="0E217CCF"/>
    <w:rsid w:val="0E2417F4"/>
    <w:rsid w:val="0E2F4C4F"/>
    <w:rsid w:val="0E323572"/>
    <w:rsid w:val="0E3A46F2"/>
    <w:rsid w:val="0E3A63C8"/>
    <w:rsid w:val="0E545297"/>
    <w:rsid w:val="0E590D95"/>
    <w:rsid w:val="0E5B6625"/>
    <w:rsid w:val="0E61575E"/>
    <w:rsid w:val="0E6821EC"/>
    <w:rsid w:val="0E6A2D0C"/>
    <w:rsid w:val="0E6B7EDE"/>
    <w:rsid w:val="0E7369A8"/>
    <w:rsid w:val="0E7442FD"/>
    <w:rsid w:val="0E7476E7"/>
    <w:rsid w:val="0E76520D"/>
    <w:rsid w:val="0E787AA4"/>
    <w:rsid w:val="0E903EA1"/>
    <w:rsid w:val="0EA03D71"/>
    <w:rsid w:val="0EAE1207"/>
    <w:rsid w:val="0EC74C38"/>
    <w:rsid w:val="0ED85719"/>
    <w:rsid w:val="0EE0714E"/>
    <w:rsid w:val="0EE45FD9"/>
    <w:rsid w:val="0EE76277"/>
    <w:rsid w:val="0EEA5BFB"/>
    <w:rsid w:val="0F0C5F04"/>
    <w:rsid w:val="0F1E317D"/>
    <w:rsid w:val="0F260313"/>
    <w:rsid w:val="0F273C94"/>
    <w:rsid w:val="0F3E2DFF"/>
    <w:rsid w:val="0F4631C4"/>
    <w:rsid w:val="0F4C55CC"/>
    <w:rsid w:val="0F5B63C7"/>
    <w:rsid w:val="0F6775D0"/>
    <w:rsid w:val="0F6E2AAA"/>
    <w:rsid w:val="0F7026B0"/>
    <w:rsid w:val="0F704352"/>
    <w:rsid w:val="0F76748F"/>
    <w:rsid w:val="0F801667"/>
    <w:rsid w:val="0F9D0EBF"/>
    <w:rsid w:val="0F9D32A2"/>
    <w:rsid w:val="0FA43FFC"/>
    <w:rsid w:val="0FA923AF"/>
    <w:rsid w:val="0FC226D4"/>
    <w:rsid w:val="0FC24482"/>
    <w:rsid w:val="0FC37070"/>
    <w:rsid w:val="0FC85F3C"/>
    <w:rsid w:val="0FCB1589"/>
    <w:rsid w:val="0FD429AA"/>
    <w:rsid w:val="0FE663C2"/>
    <w:rsid w:val="0FE71838"/>
    <w:rsid w:val="0FF0415C"/>
    <w:rsid w:val="0FF43AA1"/>
    <w:rsid w:val="0FF666B6"/>
    <w:rsid w:val="10030A51"/>
    <w:rsid w:val="1007518D"/>
    <w:rsid w:val="100B75A3"/>
    <w:rsid w:val="100C401B"/>
    <w:rsid w:val="102113DC"/>
    <w:rsid w:val="10224A1C"/>
    <w:rsid w:val="10303AE2"/>
    <w:rsid w:val="1030776F"/>
    <w:rsid w:val="103113F3"/>
    <w:rsid w:val="10335DD0"/>
    <w:rsid w:val="103E61FE"/>
    <w:rsid w:val="1047577C"/>
    <w:rsid w:val="104B6FC2"/>
    <w:rsid w:val="104C78D6"/>
    <w:rsid w:val="10591A6C"/>
    <w:rsid w:val="105E3815"/>
    <w:rsid w:val="10914580"/>
    <w:rsid w:val="10947BCD"/>
    <w:rsid w:val="10AA0CBE"/>
    <w:rsid w:val="10AA3894"/>
    <w:rsid w:val="10B755B0"/>
    <w:rsid w:val="10BC4814"/>
    <w:rsid w:val="10BC5375"/>
    <w:rsid w:val="10CD3683"/>
    <w:rsid w:val="10DB6B97"/>
    <w:rsid w:val="10E36DA6"/>
    <w:rsid w:val="10E723F2"/>
    <w:rsid w:val="10E90C14"/>
    <w:rsid w:val="10F02B1B"/>
    <w:rsid w:val="10F468BD"/>
    <w:rsid w:val="10FD3706"/>
    <w:rsid w:val="110034B4"/>
    <w:rsid w:val="11141A03"/>
    <w:rsid w:val="11201506"/>
    <w:rsid w:val="11213BA9"/>
    <w:rsid w:val="1122342A"/>
    <w:rsid w:val="113C3704"/>
    <w:rsid w:val="114512B0"/>
    <w:rsid w:val="11576207"/>
    <w:rsid w:val="115E6982"/>
    <w:rsid w:val="11693B66"/>
    <w:rsid w:val="11712A15"/>
    <w:rsid w:val="117376CB"/>
    <w:rsid w:val="117D10C4"/>
    <w:rsid w:val="117D4B05"/>
    <w:rsid w:val="11827803"/>
    <w:rsid w:val="11867454"/>
    <w:rsid w:val="11937988"/>
    <w:rsid w:val="11976910"/>
    <w:rsid w:val="119D19C5"/>
    <w:rsid w:val="11AA2C87"/>
    <w:rsid w:val="11B00A36"/>
    <w:rsid w:val="11B63AFD"/>
    <w:rsid w:val="11B76268"/>
    <w:rsid w:val="11B97EC0"/>
    <w:rsid w:val="11C6025A"/>
    <w:rsid w:val="11C655B3"/>
    <w:rsid w:val="11DD25B4"/>
    <w:rsid w:val="11E512BF"/>
    <w:rsid w:val="11F2298F"/>
    <w:rsid w:val="11FA43A7"/>
    <w:rsid w:val="120562DC"/>
    <w:rsid w:val="12090496"/>
    <w:rsid w:val="12170204"/>
    <w:rsid w:val="12192A7F"/>
    <w:rsid w:val="12201B6D"/>
    <w:rsid w:val="12226C85"/>
    <w:rsid w:val="12267405"/>
    <w:rsid w:val="12316EB7"/>
    <w:rsid w:val="1235319B"/>
    <w:rsid w:val="123C7E7D"/>
    <w:rsid w:val="123D1278"/>
    <w:rsid w:val="123D6AA2"/>
    <w:rsid w:val="12431024"/>
    <w:rsid w:val="12444B19"/>
    <w:rsid w:val="1246411B"/>
    <w:rsid w:val="124B2F08"/>
    <w:rsid w:val="124D01FF"/>
    <w:rsid w:val="125067AE"/>
    <w:rsid w:val="125349A4"/>
    <w:rsid w:val="12573325"/>
    <w:rsid w:val="126A632C"/>
    <w:rsid w:val="12723F3D"/>
    <w:rsid w:val="127E57C4"/>
    <w:rsid w:val="128277F7"/>
    <w:rsid w:val="12863E8D"/>
    <w:rsid w:val="12940358"/>
    <w:rsid w:val="129A36F6"/>
    <w:rsid w:val="129C0FBA"/>
    <w:rsid w:val="129E4D32"/>
    <w:rsid w:val="12A24669"/>
    <w:rsid w:val="12AE38F6"/>
    <w:rsid w:val="12CD75EF"/>
    <w:rsid w:val="12E470CE"/>
    <w:rsid w:val="12EA74CE"/>
    <w:rsid w:val="1302019E"/>
    <w:rsid w:val="1309256A"/>
    <w:rsid w:val="130C5515"/>
    <w:rsid w:val="13136B35"/>
    <w:rsid w:val="13223ED6"/>
    <w:rsid w:val="13350800"/>
    <w:rsid w:val="13352D60"/>
    <w:rsid w:val="13407938"/>
    <w:rsid w:val="134B0323"/>
    <w:rsid w:val="13533D6F"/>
    <w:rsid w:val="135527D1"/>
    <w:rsid w:val="13566AB3"/>
    <w:rsid w:val="137A64B2"/>
    <w:rsid w:val="138B1F66"/>
    <w:rsid w:val="13922C24"/>
    <w:rsid w:val="13930EE2"/>
    <w:rsid w:val="13A7230D"/>
    <w:rsid w:val="13A75E69"/>
    <w:rsid w:val="13AA5959"/>
    <w:rsid w:val="13B81211"/>
    <w:rsid w:val="13BE7AFF"/>
    <w:rsid w:val="13C73EE2"/>
    <w:rsid w:val="13CB7361"/>
    <w:rsid w:val="13DC5393"/>
    <w:rsid w:val="13E454B0"/>
    <w:rsid w:val="13E72709"/>
    <w:rsid w:val="140C5478"/>
    <w:rsid w:val="14163118"/>
    <w:rsid w:val="141E4F10"/>
    <w:rsid w:val="142C55AF"/>
    <w:rsid w:val="14320F4E"/>
    <w:rsid w:val="14446712"/>
    <w:rsid w:val="144A57A1"/>
    <w:rsid w:val="14537DCF"/>
    <w:rsid w:val="14813F16"/>
    <w:rsid w:val="14A64372"/>
    <w:rsid w:val="14A94D9F"/>
    <w:rsid w:val="14AC757E"/>
    <w:rsid w:val="14C7740E"/>
    <w:rsid w:val="14D03AEF"/>
    <w:rsid w:val="14DA68FF"/>
    <w:rsid w:val="14DD35DA"/>
    <w:rsid w:val="14ED4400"/>
    <w:rsid w:val="15353DE0"/>
    <w:rsid w:val="1535503F"/>
    <w:rsid w:val="153A1370"/>
    <w:rsid w:val="154056C0"/>
    <w:rsid w:val="15453B8B"/>
    <w:rsid w:val="154E1EEC"/>
    <w:rsid w:val="15530F29"/>
    <w:rsid w:val="15553814"/>
    <w:rsid w:val="156743CA"/>
    <w:rsid w:val="15721274"/>
    <w:rsid w:val="157E0E4B"/>
    <w:rsid w:val="158D7B91"/>
    <w:rsid w:val="15986F14"/>
    <w:rsid w:val="15A6027F"/>
    <w:rsid w:val="15AD6006"/>
    <w:rsid w:val="15B024E9"/>
    <w:rsid w:val="15B825AF"/>
    <w:rsid w:val="15C5150F"/>
    <w:rsid w:val="15C640B3"/>
    <w:rsid w:val="15D25E98"/>
    <w:rsid w:val="15D307F1"/>
    <w:rsid w:val="15DE18EA"/>
    <w:rsid w:val="15E2587E"/>
    <w:rsid w:val="15EC10CD"/>
    <w:rsid w:val="15EF2AD1"/>
    <w:rsid w:val="15F962F0"/>
    <w:rsid w:val="160C21E5"/>
    <w:rsid w:val="162163A6"/>
    <w:rsid w:val="162419F3"/>
    <w:rsid w:val="16251BE1"/>
    <w:rsid w:val="16286C2A"/>
    <w:rsid w:val="162F6C53"/>
    <w:rsid w:val="16330321"/>
    <w:rsid w:val="1633519D"/>
    <w:rsid w:val="16361726"/>
    <w:rsid w:val="16461ACA"/>
    <w:rsid w:val="16486986"/>
    <w:rsid w:val="164C04C3"/>
    <w:rsid w:val="164F6905"/>
    <w:rsid w:val="16513A57"/>
    <w:rsid w:val="16634DE5"/>
    <w:rsid w:val="16663964"/>
    <w:rsid w:val="16680F74"/>
    <w:rsid w:val="16793A3C"/>
    <w:rsid w:val="167A5AB7"/>
    <w:rsid w:val="167C182F"/>
    <w:rsid w:val="167F7665"/>
    <w:rsid w:val="1684128E"/>
    <w:rsid w:val="16A942FD"/>
    <w:rsid w:val="16AB2114"/>
    <w:rsid w:val="16B56AEF"/>
    <w:rsid w:val="16B84976"/>
    <w:rsid w:val="16BB28BF"/>
    <w:rsid w:val="16D76D4D"/>
    <w:rsid w:val="16E672FE"/>
    <w:rsid w:val="16EF53AE"/>
    <w:rsid w:val="16F33BDC"/>
    <w:rsid w:val="17015F9F"/>
    <w:rsid w:val="17052373"/>
    <w:rsid w:val="17142649"/>
    <w:rsid w:val="17147CB9"/>
    <w:rsid w:val="171A4BA4"/>
    <w:rsid w:val="171C6B6E"/>
    <w:rsid w:val="172706F3"/>
    <w:rsid w:val="173B5246"/>
    <w:rsid w:val="1741165B"/>
    <w:rsid w:val="17522752"/>
    <w:rsid w:val="175F7E7F"/>
    <w:rsid w:val="176510EC"/>
    <w:rsid w:val="176E4AB1"/>
    <w:rsid w:val="177045A3"/>
    <w:rsid w:val="177200E7"/>
    <w:rsid w:val="17780248"/>
    <w:rsid w:val="177A1903"/>
    <w:rsid w:val="17805507"/>
    <w:rsid w:val="1782030E"/>
    <w:rsid w:val="17867D60"/>
    <w:rsid w:val="179B0D64"/>
    <w:rsid w:val="17AC1CA0"/>
    <w:rsid w:val="17BE661D"/>
    <w:rsid w:val="17C05513"/>
    <w:rsid w:val="17C711CC"/>
    <w:rsid w:val="17DA4A5F"/>
    <w:rsid w:val="17F51899"/>
    <w:rsid w:val="17FC6DF6"/>
    <w:rsid w:val="180A4635"/>
    <w:rsid w:val="18104C0E"/>
    <w:rsid w:val="18147C50"/>
    <w:rsid w:val="182202AD"/>
    <w:rsid w:val="18227A00"/>
    <w:rsid w:val="18251A52"/>
    <w:rsid w:val="18267CA4"/>
    <w:rsid w:val="182A6CBD"/>
    <w:rsid w:val="182C698B"/>
    <w:rsid w:val="182D56D4"/>
    <w:rsid w:val="182E6B59"/>
    <w:rsid w:val="18302431"/>
    <w:rsid w:val="184E5523"/>
    <w:rsid w:val="1853036D"/>
    <w:rsid w:val="18531640"/>
    <w:rsid w:val="18552937"/>
    <w:rsid w:val="18633473"/>
    <w:rsid w:val="186601A8"/>
    <w:rsid w:val="186B2812"/>
    <w:rsid w:val="186C7681"/>
    <w:rsid w:val="18754787"/>
    <w:rsid w:val="18795491"/>
    <w:rsid w:val="18797D9D"/>
    <w:rsid w:val="1893522B"/>
    <w:rsid w:val="189438E9"/>
    <w:rsid w:val="18950986"/>
    <w:rsid w:val="18A02ED0"/>
    <w:rsid w:val="18B148B3"/>
    <w:rsid w:val="18B32479"/>
    <w:rsid w:val="18B51028"/>
    <w:rsid w:val="18BC23B6"/>
    <w:rsid w:val="18C22BC0"/>
    <w:rsid w:val="18C43019"/>
    <w:rsid w:val="18C60235"/>
    <w:rsid w:val="18CA2E9E"/>
    <w:rsid w:val="18DA142A"/>
    <w:rsid w:val="18DB52C5"/>
    <w:rsid w:val="18E400C2"/>
    <w:rsid w:val="18E4453D"/>
    <w:rsid w:val="18E86CB0"/>
    <w:rsid w:val="18EF453A"/>
    <w:rsid w:val="190F49FC"/>
    <w:rsid w:val="191B389C"/>
    <w:rsid w:val="191E4E1F"/>
    <w:rsid w:val="191F63E8"/>
    <w:rsid w:val="19232435"/>
    <w:rsid w:val="1936175A"/>
    <w:rsid w:val="19412252"/>
    <w:rsid w:val="19441138"/>
    <w:rsid w:val="19454ABE"/>
    <w:rsid w:val="19492F7F"/>
    <w:rsid w:val="194B2221"/>
    <w:rsid w:val="194C20F8"/>
    <w:rsid w:val="19526E71"/>
    <w:rsid w:val="195F0568"/>
    <w:rsid w:val="19720CC7"/>
    <w:rsid w:val="197A0C82"/>
    <w:rsid w:val="198253AE"/>
    <w:rsid w:val="19891152"/>
    <w:rsid w:val="199155F1"/>
    <w:rsid w:val="199543EF"/>
    <w:rsid w:val="199944A6"/>
    <w:rsid w:val="199C5D44"/>
    <w:rsid w:val="199D29AE"/>
    <w:rsid w:val="199E7D0E"/>
    <w:rsid w:val="19B1115F"/>
    <w:rsid w:val="19BB7BD5"/>
    <w:rsid w:val="19BC79A0"/>
    <w:rsid w:val="19C53E9F"/>
    <w:rsid w:val="19C71013"/>
    <w:rsid w:val="19E814E0"/>
    <w:rsid w:val="19EF061D"/>
    <w:rsid w:val="19F50849"/>
    <w:rsid w:val="1A0225D4"/>
    <w:rsid w:val="1A1F19BA"/>
    <w:rsid w:val="1A2D7302"/>
    <w:rsid w:val="1A3C7720"/>
    <w:rsid w:val="1A3E12FB"/>
    <w:rsid w:val="1A421317"/>
    <w:rsid w:val="1A4E4219"/>
    <w:rsid w:val="1A524D6B"/>
    <w:rsid w:val="1A55661F"/>
    <w:rsid w:val="1A5602CC"/>
    <w:rsid w:val="1A5E71A0"/>
    <w:rsid w:val="1A624C7D"/>
    <w:rsid w:val="1A686324"/>
    <w:rsid w:val="1A6B11F0"/>
    <w:rsid w:val="1A6B4094"/>
    <w:rsid w:val="1A6F1CDF"/>
    <w:rsid w:val="1A846F04"/>
    <w:rsid w:val="1A862C7C"/>
    <w:rsid w:val="1A8D7567"/>
    <w:rsid w:val="1A9F5AEC"/>
    <w:rsid w:val="1AAB0D35"/>
    <w:rsid w:val="1AAB26E2"/>
    <w:rsid w:val="1AAD3A7E"/>
    <w:rsid w:val="1AB96609"/>
    <w:rsid w:val="1ABB4907"/>
    <w:rsid w:val="1ABE7431"/>
    <w:rsid w:val="1AC23D26"/>
    <w:rsid w:val="1AC524CC"/>
    <w:rsid w:val="1AC73623"/>
    <w:rsid w:val="1ACB4096"/>
    <w:rsid w:val="1ACC6297"/>
    <w:rsid w:val="1AD80FFE"/>
    <w:rsid w:val="1ADC7148"/>
    <w:rsid w:val="1ADF7823"/>
    <w:rsid w:val="1AEA7241"/>
    <w:rsid w:val="1AEF6A73"/>
    <w:rsid w:val="1AF028F5"/>
    <w:rsid w:val="1AF75DEF"/>
    <w:rsid w:val="1AF916A0"/>
    <w:rsid w:val="1B0F3C7F"/>
    <w:rsid w:val="1B26620D"/>
    <w:rsid w:val="1B27355C"/>
    <w:rsid w:val="1B2B737F"/>
    <w:rsid w:val="1B2D759B"/>
    <w:rsid w:val="1B2E6ACA"/>
    <w:rsid w:val="1B380906"/>
    <w:rsid w:val="1B390962"/>
    <w:rsid w:val="1B3F76D0"/>
    <w:rsid w:val="1B47503E"/>
    <w:rsid w:val="1B54005F"/>
    <w:rsid w:val="1B5C503E"/>
    <w:rsid w:val="1B5F527B"/>
    <w:rsid w:val="1B60229B"/>
    <w:rsid w:val="1B617001"/>
    <w:rsid w:val="1B627D07"/>
    <w:rsid w:val="1B6E5407"/>
    <w:rsid w:val="1B732D00"/>
    <w:rsid w:val="1B7A3E63"/>
    <w:rsid w:val="1B7B0307"/>
    <w:rsid w:val="1B7B2E90"/>
    <w:rsid w:val="1B8B5122"/>
    <w:rsid w:val="1B966EEF"/>
    <w:rsid w:val="1BA6793A"/>
    <w:rsid w:val="1BBC259E"/>
    <w:rsid w:val="1BD2386C"/>
    <w:rsid w:val="1BD46DB1"/>
    <w:rsid w:val="1BD8424F"/>
    <w:rsid w:val="1BE170B4"/>
    <w:rsid w:val="1BE614F8"/>
    <w:rsid w:val="1BEE0CC5"/>
    <w:rsid w:val="1BF828EE"/>
    <w:rsid w:val="1BF956CF"/>
    <w:rsid w:val="1BFA46E3"/>
    <w:rsid w:val="1BFB2479"/>
    <w:rsid w:val="1BFD0030"/>
    <w:rsid w:val="1C072318"/>
    <w:rsid w:val="1C0924E6"/>
    <w:rsid w:val="1C14494F"/>
    <w:rsid w:val="1C151CE6"/>
    <w:rsid w:val="1C170C15"/>
    <w:rsid w:val="1C1739C6"/>
    <w:rsid w:val="1C24274C"/>
    <w:rsid w:val="1C3C00E7"/>
    <w:rsid w:val="1C420E24"/>
    <w:rsid w:val="1C432A3D"/>
    <w:rsid w:val="1C634F5F"/>
    <w:rsid w:val="1C676C23"/>
    <w:rsid w:val="1C6C3216"/>
    <w:rsid w:val="1C6E39C8"/>
    <w:rsid w:val="1C743201"/>
    <w:rsid w:val="1C762D14"/>
    <w:rsid w:val="1C7838E1"/>
    <w:rsid w:val="1C7A236C"/>
    <w:rsid w:val="1C7F5BD5"/>
    <w:rsid w:val="1C84143D"/>
    <w:rsid w:val="1C8E406A"/>
    <w:rsid w:val="1C9007C5"/>
    <w:rsid w:val="1CA23671"/>
    <w:rsid w:val="1CA3230C"/>
    <w:rsid w:val="1CB36C11"/>
    <w:rsid w:val="1CB7341F"/>
    <w:rsid w:val="1CBA09BB"/>
    <w:rsid w:val="1CC0168F"/>
    <w:rsid w:val="1CC44E08"/>
    <w:rsid w:val="1CCF30E2"/>
    <w:rsid w:val="1CD50BE2"/>
    <w:rsid w:val="1CDA3EE4"/>
    <w:rsid w:val="1CDE11C5"/>
    <w:rsid w:val="1CDF48C5"/>
    <w:rsid w:val="1CE42520"/>
    <w:rsid w:val="1CF322CF"/>
    <w:rsid w:val="1CF47F62"/>
    <w:rsid w:val="1CFC1E52"/>
    <w:rsid w:val="1D021844"/>
    <w:rsid w:val="1D024C0E"/>
    <w:rsid w:val="1D1A34E4"/>
    <w:rsid w:val="1D1B0A17"/>
    <w:rsid w:val="1D235D75"/>
    <w:rsid w:val="1D321F38"/>
    <w:rsid w:val="1D492FAA"/>
    <w:rsid w:val="1D5801D4"/>
    <w:rsid w:val="1D6A0633"/>
    <w:rsid w:val="1D7130E8"/>
    <w:rsid w:val="1D713C8E"/>
    <w:rsid w:val="1D772313"/>
    <w:rsid w:val="1D7E5E8C"/>
    <w:rsid w:val="1D825CDF"/>
    <w:rsid w:val="1D8F34D6"/>
    <w:rsid w:val="1D9456B0"/>
    <w:rsid w:val="1DA83981"/>
    <w:rsid w:val="1DAB6D83"/>
    <w:rsid w:val="1DB56246"/>
    <w:rsid w:val="1DB61BEA"/>
    <w:rsid w:val="1DBC51CC"/>
    <w:rsid w:val="1DC6338F"/>
    <w:rsid w:val="1DC7755D"/>
    <w:rsid w:val="1DCA62A8"/>
    <w:rsid w:val="1DDE692B"/>
    <w:rsid w:val="1DEA4887"/>
    <w:rsid w:val="1DF4614E"/>
    <w:rsid w:val="1DF70E85"/>
    <w:rsid w:val="1DFB7B98"/>
    <w:rsid w:val="1E071FFB"/>
    <w:rsid w:val="1E13127E"/>
    <w:rsid w:val="1E2C3B3A"/>
    <w:rsid w:val="1E3173A3"/>
    <w:rsid w:val="1E32766A"/>
    <w:rsid w:val="1E330F9D"/>
    <w:rsid w:val="1E360515"/>
    <w:rsid w:val="1E3D18A3"/>
    <w:rsid w:val="1E4A38CB"/>
    <w:rsid w:val="1E5F59D3"/>
    <w:rsid w:val="1E676920"/>
    <w:rsid w:val="1E780B2E"/>
    <w:rsid w:val="1E7B6870"/>
    <w:rsid w:val="1E817AAD"/>
    <w:rsid w:val="1E826D1D"/>
    <w:rsid w:val="1E967206"/>
    <w:rsid w:val="1E9B481C"/>
    <w:rsid w:val="1EA61F67"/>
    <w:rsid w:val="1EA8656B"/>
    <w:rsid w:val="1EB36C6D"/>
    <w:rsid w:val="1EB37DB8"/>
    <w:rsid w:val="1ECF5650"/>
    <w:rsid w:val="1ED15BFA"/>
    <w:rsid w:val="1ED85DEA"/>
    <w:rsid w:val="1EE53886"/>
    <w:rsid w:val="1EE7180F"/>
    <w:rsid w:val="1EEF2C2E"/>
    <w:rsid w:val="1EF91539"/>
    <w:rsid w:val="1F072D4B"/>
    <w:rsid w:val="1F0E1745"/>
    <w:rsid w:val="1F1010AA"/>
    <w:rsid w:val="1F187CA2"/>
    <w:rsid w:val="1F1C6253"/>
    <w:rsid w:val="1F2056A8"/>
    <w:rsid w:val="1F2952CA"/>
    <w:rsid w:val="1F2D5F27"/>
    <w:rsid w:val="1F3D5AE5"/>
    <w:rsid w:val="1F514390"/>
    <w:rsid w:val="1F520416"/>
    <w:rsid w:val="1F5C3527"/>
    <w:rsid w:val="1F661A01"/>
    <w:rsid w:val="1F91573C"/>
    <w:rsid w:val="1F946CB7"/>
    <w:rsid w:val="1F996FAD"/>
    <w:rsid w:val="1F9A7D06"/>
    <w:rsid w:val="1FA2694A"/>
    <w:rsid w:val="1FA81633"/>
    <w:rsid w:val="1FAF67D1"/>
    <w:rsid w:val="1FB0532E"/>
    <w:rsid w:val="1FC26FBF"/>
    <w:rsid w:val="1FCA360B"/>
    <w:rsid w:val="1FCE2303"/>
    <w:rsid w:val="1FD7274A"/>
    <w:rsid w:val="1FE066F7"/>
    <w:rsid w:val="1FE10F7F"/>
    <w:rsid w:val="1FE219A2"/>
    <w:rsid w:val="1FEB3581"/>
    <w:rsid w:val="1FF46781"/>
    <w:rsid w:val="1FFA5D75"/>
    <w:rsid w:val="2000527E"/>
    <w:rsid w:val="200F62C8"/>
    <w:rsid w:val="20215523"/>
    <w:rsid w:val="202763DC"/>
    <w:rsid w:val="20381EE3"/>
    <w:rsid w:val="203A654E"/>
    <w:rsid w:val="2040567B"/>
    <w:rsid w:val="205043C1"/>
    <w:rsid w:val="20515ADA"/>
    <w:rsid w:val="20517888"/>
    <w:rsid w:val="20564E9E"/>
    <w:rsid w:val="2062561B"/>
    <w:rsid w:val="20686E99"/>
    <w:rsid w:val="206B56BF"/>
    <w:rsid w:val="206D2E8B"/>
    <w:rsid w:val="206D52D5"/>
    <w:rsid w:val="206E7F9E"/>
    <w:rsid w:val="20727105"/>
    <w:rsid w:val="20737876"/>
    <w:rsid w:val="20763DFD"/>
    <w:rsid w:val="207C6A65"/>
    <w:rsid w:val="2080247D"/>
    <w:rsid w:val="208A4B48"/>
    <w:rsid w:val="209459C7"/>
    <w:rsid w:val="209B0B03"/>
    <w:rsid w:val="209B4FA7"/>
    <w:rsid w:val="20A0503D"/>
    <w:rsid w:val="20A346C3"/>
    <w:rsid w:val="20A77CDE"/>
    <w:rsid w:val="20A82EAA"/>
    <w:rsid w:val="20AA3CCD"/>
    <w:rsid w:val="20C3065B"/>
    <w:rsid w:val="20C31E08"/>
    <w:rsid w:val="20C321CA"/>
    <w:rsid w:val="20CA77BB"/>
    <w:rsid w:val="20D5192A"/>
    <w:rsid w:val="20DE3A32"/>
    <w:rsid w:val="20E344C2"/>
    <w:rsid w:val="20E8395F"/>
    <w:rsid w:val="20EB640A"/>
    <w:rsid w:val="20F16975"/>
    <w:rsid w:val="20F53A43"/>
    <w:rsid w:val="20FA31EE"/>
    <w:rsid w:val="210C4670"/>
    <w:rsid w:val="211E2E71"/>
    <w:rsid w:val="21263062"/>
    <w:rsid w:val="214C1C66"/>
    <w:rsid w:val="214E3DC8"/>
    <w:rsid w:val="214F5459"/>
    <w:rsid w:val="215C4736"/>
    <w:rsid w:val="215C64E4"/>
    <w:rsid w:val="2166685E"/>
    <w:rsid w:val="21674E89"/>
    <w:rsid w:val="216B2BCB"/>
    <w:rsid w:val="21723F5A"/>
    <w:rsid w:val="217F6DEC"/>
    <w:rsid w:val="2199723C"/>
    <w:rsid w:val="219E4D4F"/>
    <w:rsid w:val="21A055F1"/>
    <w:rsid w:val="21AB6FCF"/>
    <w:rsid w:val="21C347B6"/>
    <w:rsid w:val="21CE5EBB"/>
    <w:rsid w:val="21CF4EB5"/>
    <w:rsid w:val="21DA362A"/>
    <w:rsid w:val="21E53F99"/>
    <w:rsid w:val="21ED5227"/>
    <w:rsid w:val="21F449DC"/>
    <w:rsid w:val="21F87128"/>
    <w:rsid w:val="21FA7AAB"/>
    <w:rsid w:val="220413DD"/>
    <w:rsid w:val="220A32C0"/>
    <w:rsid w:val="220D3C83"/>
    <w:rsid w:val="220D77DF"/>
    <w:rsid w:val="22104A84"/>
    <w:rsid w:val="2221602E"/>
    <w:rsid w:val="2222699B"/>
    <w:rsid w:val="22272294"/>
    <w:rsid w:val="22295766"/>
    <w:rsid w:val="222F1E4B"/>
    <w:rsid w:val="223E208E"/>
    <w:rsid w:val="22502C45"/>
    <w:rsid w:val="225E2ABC"/>
    <w:rsid w:val="22615CA5"/>
    <w:rsid w:val="22640F4D"/>
    <w:rsid w:val="2265761B"/>
    <w:rsid w:val="226A69DF"/>
    <w:rsid w:val="2286107A"/>
    <w:rsid w:val="22AA0E79"/>
    <w:rsid w:val="22AD45D9"/>
    <w:rsid w:val="22CD79A5"/>
    <w:rsid w:val="22D402FC"/>
    <w:rsid w:val="22DF7382"/>
    <w:rsid w:val="22E434D1"/>
    <w:rsid w:val="22EA79E5"/>
    <w:rsid w:val="22EC1AEA"/>
    <w:rsid w:val="22F4274D"/>
    <w:rsid w:val="22F45757"/>
    <w:rsid w:val="22F774F6"/>
    <w:rsid w:val="2302556C"/>
    <w:rsid w:val="230544E9"/>
    <w:rsid w:val="2307504D"/>
    <w:rsid w:val="231E7D0D"/>
    <w:rsid w:val="232A3C18"/>
    <w:rsid w:val="232F730E"/>
    <w:rsid w:val="235212E6"/>
    <w:rsid w:val="23577E53"/>
    <w:rsid w:val="23654914"/>
    <w:rsid w:val="236D1C38"/>
    <w:rsid w:val="23735D67"/>
    <w:rsid w:val="237C5D34"/>
    <w:rsid w:val="23812232"/>
    <w:rsid w:val="239006C7"/>
    <w:rsid w:val="23932A23"/>
    <w:rsid w:val="23953F30"/>
    <w:rsid w:val="23973E27"/>
    <w:rsid w:val="239D1DDD"/>
    <w:rsid w:val="23A126CD"/>
    <w:rsid w:val="23A40938"/>
    <w:rsid w:val="23AC3027"/>
    <w:rsid w:val="23AD48A9"/>
    <w:rsid w:val="23B574F7"/>
    <w:rsid w:val="23C87DC5"/>
    <w:rsid w:val="23CA20F4"/>
    <w:rsid w:val="23CA2F07"/>
    <w:rsid w:val="23CB7951"/>
    <w:rsid w:val="23DC01BA"/>
    <w:rsid w:val="23DC390D"/>
    <w:rsid w:val="23DF5BCF"/>
    <w:rsid w:val="23E0443C"/>
    <w:rsid w:val="23E106E5"/>
    <w:rsid w:val="23E53718"/>
    <w:rsid w:val="23EA66DF"/>
    <w:rsid w:val="23F92F67"/>
    <w:rsid w:val="23F940F5"/>
    <w:rsid w:val="23FF5BC2"/>
    <w:rsid w:val="240D1D18"/>
    <w:rsid w:val="241261F8"/>
    <w:rsid w:val="2417166E"/>
    <w:rsid w:val="24173613"/>
    <w:rsid w:val="241E5CD3"/>
    <w:rsid w:val="242A07DD"/>
    <w:rsid w:val="242B05C2"/>
    <w:rsid w:val="24311EAA"/>
    <w:rsid w:val="2437006A"/>
    <w:rsid w:val="24422AC7"/>
    <w:rsid w:val="245636BF"/>
    <w:rsid w:val="24564885"/>
    <w:rsid w:val="245821F3"/>
    <w:rsid w:val="246813CA"/>
    <w:rsid w:val="247F502F"/>
    <w:rsid w:val="24801A69"/>
    <w:rsid w:val="248434C7"/>
    <w:rsid w:val="248F5116"/>
    <w:rsid w:val="249A3D47"/>
    <w:rsid w:val="249D31A3"/>
    <w:rsid w:val="249F4F2F"/>
    <w:rsid w:val="24A53AEB"/>
    <w:rsid w:val="24A667BE"/>
    <w:rsid w:val="24AA3D15"/>
    <w:rsid w:val="24BF2920"/>
    <w:rsid w:val="24D92829"/>
    <w:rsid w:val="24DA1968"/>
    <w:rsid w:val="24DC39F5"/>
    <w:rsid w:val="24EF58C2"/>
    <w:rsid w:val="24F15196"/>
    <w:rsid w:val="250501B3"/>
    <w:rsid w:val="25227CB6"/>
    <w:rsid w:val="25291D98"/>
    <w:rsid w:val="254C06ED"/>
    <w:rsid w:val="25506360"/>
    <w:rsid w:val="25553977"/>
    <w:rsid w:val="25574ED9"/>
    <w:rsid w:val="255B4D05"/>
    <w:rsid w:val="256E4D86"/>
    <w:rsid w:val="257B7155"/>
    <w:rsid w:val="25860FD3"/>
    <w:rsid w:val="258B1D43"/>
    <w:rsid w:val="258D79E1"/>
    <w:rsid w:val="25903EEA"/>
    <w:rsid w:val="25A45CB2"/>
    <w:rsid w:val="25A866D2"/>
    <w:rsid w:val="25AC5561"/>
    <w:rsid w:val="25B06844"/>
    <w:rsid w:val="25C32FD6"/>
    <w:rsid w:val="25C91357"/>
    <w:rsid w:val="25C937E4"/>
    <w:rsid w:val="25DD396C"/>
    <w:rsid w:val="25EB3B12"/>
    <w:rsid w:val="26004C8B"/>
    <w:rsid w:val="26067B96"/>
    <w:rsid w:val="261F75ED"/>
    <w:rsid w:val="26321F0A"/>
    <w:rsid w:val="26362E74"/>
    <w:rsid w:val="26390459"/>
    <w:rsid w:val="26396DF4"/>
    <w:rsid w:val="264948F5"/>
    <w:rsid w:val="265A6A9E"/>
    <w:rsid w:val="265E4B9C"/>
    <w:rsid w:val="266326D7"/>
    <w:rsid w:val="26735D21"/>
    <w:rsid w:val="26785D8C"/>
    <w:rsid w:val="267D7581"/>
    <w:rsid w:val="268F110A"/>
    <w:rsid w:val="26917E7C"/>
    <w:rsid w:val="26A12BEB"/>
    <w:rsid w:val="26A34E8B"/>
    <w:rsid w:val="26A970FA"/>
    <w:rsid w:val="26B96187"/>
    <w:rsid w:val="26C464E1"/>
    <w:rsid w:val="26CA3EF0"/>
    <w:rsid w:val="26D73DB2"/>
    <w:rsid w:val="26D903D6"/>
    <w:rsid w:val="26DD66BD"/>
    <w:rsid w:val="26E50303"/>
    <w:rsid w:val="26EA6341"/>
    <w:rsid w:val="26F3093D"/>
    <w:rsid w:val="26F64CE5"/>
    <w:rsid w:val="26FE2B53"/>
    <w:rsid w:val="27103A7F"/>
    <w:rsid w:val="27151B1C"/>
    <w:rsid w:val="27182EAE"/>
    <w:rsid w:val="271A1A48"/>
    <w:rsid w:val="272C4BAB"/>
    <w:rsid w:val="272F00A2"/>
    <w:rsid w:val="272F0E8A"/>
    <w:rsid w:val="272F6449"/>
    <w:rsid w:val="27353363"/>
    <w:rsid w:val="273C4A37"/>
    <w:rsid w:val="2741012C"/>
    <w:rsid w:val="27421BFB"/>
    <w:rsid w:val="27441EF5"/>
    <w:rsid w:val="276B055C"/>
    <w:rsid w:val="276C2507"/>
    <w:rsid w:val="27803D3B"/>
    <w:rsid w:val="27837FA9"/>
    <w:rsid w:val="278A08BE"/>
    <w:rsid w:val="278B79DD"/>
    <w:rsid w:val="279C6212"/>
    <w:rsid w:val="279F4881"/>
    <w:rsid w:val="27A02E27"/>
    <w:rsid w:val="27B40C07"/>
    <w:rsid w:val="27C4530E"/>
    <w:rsid w:val="27C748D4"/>
    <w:rsid w:val="27D27C80"/>
    <w:rsid w:val="27D30934"/>
    <w:rsid w:val="27D3149B"/>
    <w:rsid w:val="27DA63B5"/>
    <w:rsid w:val="27E85CD8"/>
    <w:rsid w:val="27F51441"/>
    <w:rsid w:val="28041684"/>
    <w:rsid w:val="280751E1"/>
    <w:rsid w:val="28164F13"/>
    <w:rsid w:val="281F1649"/>
    <w:rsid w:val="281F281F"/>
    <w:rsid w:val="282B4E63"/>
    <w:rsid w:val="28442C3E"/>
    <w:rsid w:val="284C0E79"/>
    <w:rsid w:val="28553C8E"/>
    <w:rsid w:val="285A4D46"/>
    <w:rsid w:val="285D476E"/>
    <w:rsid w:val="286456DE"/>
    <w:rsid w:val="286B5489"/>
    <w:rsid w:val="28702287"/>
    <w:rsid w:val="288973CE"/>
    <w:rsid w:val="28904CC6"/>
    <w:rsid w:val="28A8200F"/>
    <w:rsid w:val="28AB1AFF"/>
    <w:rsid w:val="28BB208D"/>
    <w:rsid w:val="28BE3C97"/>
    <w:rsid w:val="28CE3331"/>
    <w:rsid w:val="28CF1C92"/>
    <w:rsid w:val="28DA4193"/>
    <w:rsid w:val="28DF17A9"/>
    <w:rsid w:val="28EA6ACC"/>
    <w:rsid w:val="28F65471"/>
    <w:rsid w:val="28FF00B1"/>
    <w:rsid w:val="290575D9"/>
    <w:rsid w:val="29074E67"/>
    <w:rsid w:val="29077202"/>
    <w:rsid w:val="29086754"/>
    <w:rsid w:val="29115E06"/>
    <w:rsid w:val="29196B15"/>
    <w:rsid w:val="291C5607"/>
    <w:rsid w:val="29224894"/>
    <w:rsid w:val="29235B3A"/>
    <w:rsid w:val="292434EB"/>
    <w:rsid w:val="29345C93"/>
    <w:rsid w:val="29375985"/>
    <w:rsid w:val="295067FB"/>
    <w:rsid w:val="296248B4"/>
    <w:rsid w:val="296461C4"/>
    <w:rsid w:val="29763C27"/>
    <w:rsid w:val="298661C8"/>
    <w:rsid w:val="2987431B"/>
    <w:rsid w:val="29B177C4"/>
    <w:rsid w:val="29BB6CB1"/>
    <w:rsid w:val="29D05CC2"/>
    <w:rsid w:val="29D46200"/>
    <w:rsid w:val="29DF3DA8"/>
    <w:rsid w:val="29DF7578"/>
    <w:rsid w:val="29E52F9C"/>
    <w:rsid w:val="29EB68DC"/>
    <w:rsid w:val="2A090DEC"/>
    <w:rsid w:val="2A12073C"/>
    <w:rsid w:val="2A17569E"/>
    <w:rsid w:val="2A17610D"/>
    <w:rsid w:val="2A181907"/>
    <w:rsid w:val="2A1955AC"/>
    <w:rsid w:val="2A1C0F07"/>
    <w:rsid w:val="2A2102CB"/>
    <w:rsid w:val="2A24600D"/>
    <w:rsid w:val="2A3049B2"/>
    <w:rsid w:val="2A3E70CF"/>
    <w:rsid w:val="2A412148"/>
    <w:rsid w:val="2A41271B"/>
    <w:rsid w:val="2A50786B"/>
    <w:rsid w:val="2A5650D2"/>
    <w:rsid w:val="2A65708B"/>
    <w:rsid w:val="2A6B682A"/>
    <w:rsid w:val="2A7D6747"/>
    <w:rsid w:val="2A8D001C"/>
    <w:rsid w:val="2A9A699B"/>
    <w:rsid w:val="2AA738A5"/>
    <w:rsid w:val="2AAF1D7B"/>
    <w:rsid w:val="2AB0164F"/>
    <w:rsid w:val="2AC96327"/>
    <w:rsid w:val="2ACA725A"/>
    <w:rsid w:val="2ADF5470"/>
    <w:rsid w:val="2AF57176"/>
    <w:rsid w:val="2AF8442E"/>
    <w:rsid w:val="2B0A5716"/>
    <w:rsid w:val="2B1D10CD"/>
    <w:rsid w:val="2B1F18FE"/>
    <w:rsid w:val="2B1F35D3"/>
    <w:rsid w:val="2B240251"/>
    <w:rsid w:val="2B26795A"/>
    <w:rsid w:val="2B341E3E"/>
    <w:rsid w:val="2B345DDC"/>
    <w:rsid w:val="2B391645"/>
    <w:rsid w:val="2B395AE8"/>
    <w:rsid w:val="2B464577"/>
    <w:rsid w:val="2B4F47C3"/>
    <w:rsid w:val="2B5973F9"/>
    <w:rsid w:val="2B5E2B7A"/>
    <w:rsid w:val="2B62745D"/>
    <w:rsid w:val="2B7101A3"/>
    <w:rsid w:val="2B882825"/>
    <w:rsid w:val="2B8C79C6"/>
    <w:rsid w:val="2B8E7BE2"/>
    <w:rsid w:val="2B8F029F"/>
    <w:rsid w:val="2B8F42A1"/>
    <w:rsid w:val="2B97729C"/>
    <w:rsid w:val="2B980A61"/>
    <w:rsid w:val="2B9C3881"/>
    <w:rsid w:val="2BA05C80"/>
    <w:rsid w:val="2BA23902"/>
    <w:rsid w:val="2BAA42F0"/>
    <w:rsid w:val="2BAE7338"/>
    <w:rsid w:val="2BBD04C8"/>
    <w:rsid w:val="2BC50590"/>
    <w:rsid w:val="2BCA6511"/>
    <w:rsid w:val="2BD0137E"/>
    <w:rsid w:val="2BD77831"/>
    <w:rsid w:val="2BD830B6"/>
    <w:rsid w:val="2BDD46C6"/>
    <w:rsid w:val="2BDF21EC"/>
    <w:rsid w:val="2BE10F25"/>
    <w:rsid w:val="2BE23A8A"/>
    <w:rsid w:val="2BFC6B95"/>
    <w:rsid w:val="2C0D0D9F"/>
    <w:rsid w:val="2C241192"/>
    <w:rsid w:val="2C311870"/>
    <w:rsid w:val="2C376275"/>
    <w:rsid w:val="2C3A01DA"/>
    <w:rsid w:val="2C423C87"/>
    <w:rsid w:val="2C50625C"/>
    <w:rsid w:val="2C571FAA"/>
    <w:rsid w:val="2C6350B8"/>
    <w:rsid w:val="2C646B95"/>
    <w:rsid w:val="2C6941AB"/>
    <w:rsid w:val="2C6E0A38"/>
    <w:rsid w:val="2C7A3CC3"/>
    <w:rsid w:val="2C90185D"/>
    <w:rsid w:val="2C994A91"/>
    <w:rsid w:val="2C9D7B6E"/>
    <w:rsid w:val="2CA11882"/>
    <w:rsid w:val="2CAC45E8"/>
    <w:rsid w:val="2CAE0917"/>
    <w:rsid w:val="2CBD311B"/>
    <w:rsid w:val="2CCB6C14"/>
    <w:rsid w:val="2CD05FD9"/>
    <w:rsid w:val="2CD23BA8"/>
    <w:rsid w:val="2CD97B41"/>
    <w:rsid w:val="2CDF6379"/>
    <w:rsid w:val="2CE15579"/>
    <w:rsid w:val="2CF63C91"/>
    <w:rsid w:val="2CF80257"/>
    <w:rsid w:val="2CFA3055"/>
    <w:rsid w:val="2D061411"/>
    <w:rsid w:val="2D0F4D53"/>
    <w:rsid w:val="2D131FB9"/>
    <w:rsid w:val="2D1731C1"/>
    <w:rsid w:val="2D175679"/>
    <w:rsid w:val="2D1A7254"/>
    <w:rsid w:val="2D214A86"/>
    <w:rsid w:val="2D216834"/>
    <w:rsid w:val="2D302388"/>
    <w:rsid w:val="2D344542"/>
    <w:rsid w:val="2D3A178C"/>
    <w:rsid w:val="2D3B4256"/>
    <w:rsid w:val="2D444CFF"/>
    <w:rsid w:val="2D452523"/>
    <w:rsid w:val="2D501804"/>
    <w:rsid w:val="2D636E4D"/>
    <w:rsid w:val="2D6D0FE2"/>
    <w:rsid w:val="2D7526BD"/>
    <w:rsid w:val="2D7E5A35"/>
    <w:rsid w:val="2D7F46B9"/>
    <w:rsid w:val="2D8E3118"/>
    <w:rsid w:val="2D9613F1"/>
    <w:rsid w:val="2D99286E"/>
    <w:rsid w:val="2D9E0096"/>
    <w:rsid w:val="2DB256DE"/>
    <w:rsid w:val="2DB420F9"/>
    <w:rsid w:val="2DCA519A"/>
    <w:rsid w:val="2DD438A6"/>
    <w:rsid w:val="2DE45773"/>
    <w:rsid w:val="2DF50F6B"/>
    <w:rsid w:val="2DF61A6F"/>
    <w:rsid w:val="2DFA1EF5"/>
    <w:rsid w:val="2DFB2EB2"/>
    <w:rsid w:val="2E114AFB"/>
    <w:rsid w:val="2E250AAD"/>
    <w:rsid w:val="2E2B2D7C"/>
    <w:rsid w:val="2E353B9D"/>
    <w:rsid w:val="2E374CDF"/>
    <w:rsid w:val="2E3B24C7"/>
    <w:rsid w:val="2E536EC1"/>
    <w:rsid w:val="2E5A6ABF"/>
    <w:rsid w:val="2E666FCF"/>
    <w:rsid w:val="2E6914C2"/>
    <w:rsid w:val="2E756E38"/>
    <w:rsid w:val="2E8C373D"/>
    <w:rsid w:val="2E905239"/>
    <w:rsid w:val="2E930BEF"/>
    <w:rsid w:val="2E9D0C38"/>
    <w:rsid w:val="2EA001CF"/>
    <w:rsid w:val="2EA209AC"/>
    <w:rsid w:val="2EA2747A"/>
    <w:rsid w:val="2EA414CB"/>
    <w:rsid w:val="2EBC490C"/>
    <w:rsid w:val="2EBF3C95"/>
    <w:rsid w:val="2EC229E9"/>
    <w:rsid w:val="2ED251AB"/>
    <w:rsid w:val="2ED26038"/>
    <w:rsid w:val="2ED41754"/>
    <w:rsid w:val="2EDE5DC9"/>
    <w:rsid w:val="2EDF69A7"/>
    <w:rsid w:val="2EE36D07"/>
    <w:rsid w:val="2EE43FBD"/>
    <w:rsid w:val="2EEA1DEB"/>
    <w:rsid w:val="2EED2C09"/>
    <w:rsid w:val="2EED700C"/>
    <w:rsid w:val="2EF37D5C"/>
    <w:rsid w:val="2EF73CF0"/>
    <w:rsid w:val="2EFF4953"/>
    <w:rsid w:val="2EFF5257"/>
    <w:rsid w:val="2F000DF7"/>
    <w:rsid w:val="2F061AE0"/>
    <w:rsid w:val="2F090331"/>
    <w:rsid w:val="2F0E55F8"/>
    <w:rsid w:val="2F0E5A28"/>
    <w:rsid w:val="2F1A79DF"/>
    <w:rsid w:val="2F20019A"/>
    <w:rsid w:val="2F3130B2"/>
    <w:rsid w:val="2F340214"/>
    <w:rsid w:val="2F3D6837"/>
    <w:rsid w:val="2F4A2072"/>
    <w:rsid w:val="2F5532A8"/>
    <w:rsid w:val="2F585E46"/>
    <w:rsid w:val="2F597276"/>
    <w:rsid w:val="2F634414"/>
    <w:rsid w:val="2F6A6270"/>
    <w:rsid w:val="2F752C22"/>
    <w:rsid w:val="2F7B5D7D"/>
    <w:rsid w:val="2F8337D6"/>
    <w:rsid w:val="2F927575"/>
    <w:rsid w:val="2FAE52E6"/>
    <w:rsid w:val="2FCF7B20"/>
    <w:rsid w:val="2FD219D4"/>
    <w:rsid w:val="2FD228B4"/>
    <w:rsid w:val="2FDD2EE6"/>
    <w:rsid w:val="2FDF77E5"/>
    <w:rsid w:val="2FEB7F11"/>
    <w:rsid w:val="2FEC623E"/>
    <w:rsid w:val="2FEE5C1B"/>
    <w:rsid w:val="2FFA26ED"/>
    <w:rsid w:val="300C557A"/>
    <w:rsid w:val="30100535"/>
    <w:rsid w:val="30152738"/>
    <w:rsid w:val="30160338"/>
    <w:rsid w:val="3016170D"/>
    <w:rsid w:val="301C0766"/>
    <w:rsid w:val="301F34FF"/>
    <w:rsid w:val="30206C6F"/>
    <w:rsid w:val="302E49B2"/>
    <w:rsid w:val="30354AD0"/>
    <w:rsid w:val="303643A5"/>
    <w:rsid w:val="304651C6"/>
    <w:rsid w:val="304E343D"/>
    <w:rsid w:val="304F49DA"/>
    <w:rsid w:val="30612D66"/>
    <w:rsid w:val="306A602F"/>
    <w:rsid w:val="3079595B"/>
    <w:rsid w:val="30896BCA"/>
    <w:rsid w:val="309604AC"/>
    <w:rsid w:val="3098247E"/>
    <w:rsid w:val="30986418"/>
    <w:rsid w:val="309C5BAA"/>
    <w:rsid w:val="30A92DC8"/>
    <w:rsid w:val="30AE03DF"/>
    <w:rsid w:val="30B05F05"/>
    <w:rsid w:val="30B90204"/>
    <w:rsid w:val="30BC0D4E"/>
    <w:rsid w:val="30CA1A8C"/>
    <w:rsid w:val="30CE3385"/>
    <w:rsid w:val="30D705DE"/>
    <w:rsid w:val="30D76BFD"/>
    <w:rsid w:val="30DF67EA"/>
    <w:rsid w:val="30E3201D"/>
    <w:rsid w:val="30E32B47"/>
    <w:rsid w:val="30EC0A76"/>
    <w:rsid w:val="30F2476F"/>
    <w:rsid w:val="310050D5"/>
    <w:rsid w:val="31097D0B"/>
    <w:rsid w:val="31252827"/>
    <w:rsid w:val="3130055C"/>
    <w:rsid w:val="3139239E"/>
    <w:rsid w:val="31442E06"/>
    <w:rsid w:val="31514594"/>
    <w:rsid w:val="3159659D"/>
    <w:rsid w:val="31607CE4"/>
    <w:rsid w:val="31625295"/>
    <w:rsid w:val="3165066A"/>
    <w:rsid w:val="31680382"/>
    <w:rsid w:val="316A4896"/>
    <w:rsid w:val="31750EFD"/>
    <w:rsid w:val="31772EC7"/>
    <w:rsid w:val="31794E91"/>
    <w:rsid w:val="317C7B94"/>
    <w:rsid w:val="317E623F"/>
    <w:rsid w:val="31816ADC"/>
    <w:rsid w:val="318950C3"/>
    <w:rsid w:val="319D3B38"/>
    <w:rsid w:val="31A41230"/>
    <w:rsid w:val="31A6053F"/>
    <w:rsid w:val="31C559E0"/>
    <w:rsid w:val="31D010EE"/>
    <w:rsid w:val="31E12F3B"/>
    <w:rsid w:val="31E55956"/>
    <w:rsid w:val="31F952CB"/>
    <w:rsid w:val="32020D4F"/>
    <w:rsid w:val="320D7387"/>
    <w:rsid w:val="32194965"/>
    <w:rsid w:val="32195D2C"/>
    <w:rsid w:val="32253768"/>
    <w:rsid w:val="322B15B8"/>
    <w:rsid w:val="32342B66"/>
    <w:rsid w:val="323B2146"/>
    <w:rsid w:val="3240775C"/>
    <w:rsid w:val="32460AD2"/>
    <w:rsid w:val="324D2B05"/>
    <w:rsid w:val="326064D2"/>
    <w:rsid w:val="32632C61"/>
    <w:rsid w:val="32800E1E"/>
    <w:rsid w:val="32817DD6"/>
    <w:rsid w:val="328F5D54"/>
    <w:rsid w:val="329172E0"/>
    <w:rsid w:val="32951856"/>
    <w:rsid w:val="32990658"/>
    <w:rsid w:val="32991389"/>
    <w:rsid w:val="32AC4DF2"/>
    <w:rsid w:val="32B00CAA"/>
    <w:rsid w:val="32BB5035"/>
    <w:rsid w:val="32C12C2B"/>
    <w:rsid w:val="32CA07E0"/>
    <w:rsid w:val="32E620B2"/>
    <w:rsid w:val="32EB7CC1"/>
    <w:rsid w:val="32F25059"/>
    <w:rsid w:val="32FD4732"/>
    <w:rsid w:val="32FE389F"/>
    <w:rsid w:val="32FF7303"/>
    <w:rsid w:val="33172ED9"/>
    <w:rsid w:val="331C6248"/>
    <w:rsid w:val="331E41C5"/>
    <w:rsid w:val="332350B4"/>
    <w:rsid w:val="332B3F69"/>
    <w:rsid w:val="333C2B65"/>
    <w:rsid w:val="334079BF"/>
    <w:rsid w:val="33437FA9"/>
    <w:rsid w:val="33446DD8"/>
    <w:rsid w:val="334E5EA9"/>
    <w:rsid w:val="33541711"/>
    <w:rsid w:val="33556111"/>
    <w:rsid w:val="337F20AC"/>
    <w:rsid w:val="338109C9"/>
    <w:rsid w:val="33843E73"/>
    <w:rsid w:val="338C5CB2"/>
    <w:rsid w:val="339E4972"/>
    <w:rsid w:val="33BA19FB"/>
    <w:rsid w:val="33C8029A"/>
    <w:rsid w:val="33CC574C"/>
    <w:rsid w:val="33CE6CE3"/>
    <w:rsid w:val="33CF0D98"/>
    <w:rsid w:val="33CF4F75"/>
    <w:rsid w:val="33D10DBD"/>
    <w:rsid w:val="33E52701"/>
    <w:rsid w:val="33EC6019"/>
    <w:rsid w:val="33F151B2"/>
    <w:rsid w:val="34042A6E"/>
    <w:rsid w:val="340F385B"/>
    <w:rsid w:val="34210600"/>
    <w:rsid w:val="342966EE"/>
    <w:rsid w:val="342D3D10"/>
    <w:rsid w:val="342F40A1"/>
    <w:rsid w:val="34326004"/>
    <w:rsid w:val="344D2D4C"/>
    <w:rsid w:val="345614B9"/>
    <w:rsid w:val="3459483E"/>
    <w:rsid w:val="345A6AD0"/>
    <w:rsid w:val="346E3D0C"/>
    <w:rsid w:val="346F60D7"/>
    <w:rsid w:val="347A37D5"/>
    <w:rsid w:val="347F58B9"/>
    <w:rsid w:val="34860DC5"/>
    <w:rsid w:val="34866B55"/>
    <w:rsid w:val="34907334"/>
    <w:rsid w:val="34916C29"/>
    <w:rsid w:val="34925FFC"/>
    <w:rsid w:val="349E1F2B"/>
    <w:rsid w:val="34AE6BFF"/>
    <w:rsid w:val="34B3734D"/>
    <w:rsid w:val="34B54281"/>
    <w:rsid w:val="34B82C73"/>
    <w:rsid w:val="34C53BB4"/>
    <w:rsid w:val="34C77CC1"/>
    <w:rsid w:val="34D83C7C"/>
    <w:rsid w:val="34DB4661"/>
    <w:rsid w:val="34DC2A01"/>
    <w:rsid w:val="34DE0E22"/>
    <w:rsid w:val="34E46AC5"/>
    <w:rsid w:val="34EB2077"/>
    <w:rsid w:val="34F07218"/>
    <w:rsid w:val="34F144DA"/>
    <w:rsid w:val="34F211E2"/>
    <w:rsid w:val="34F30AB6"/>
    <w:rsid w:val="34F534EF"/>
    <w:rsid w:val="34F56FCE"/>
    <w:rsid w:val="350310FA"/>
    <w:rsid w:val="350B4EB3"/>
    <w:rsid w:val="350E2A75"/>
    <w:rsid w:val="351B1DBB"/>
    <w:rsid w:val="352A4EA9"/>
    <w:rsid w:val="352F1AB0"/>
    <w:rsid w:val="35342A4F"/>
    <w:rsid w:val="353A2243"/>
    <w:rsid w:val="35426EC6"/>
    <w:rsid w:val="35482EB8"/>
    <w:rsid w:val="354972C5"/>
    <w:rsid w:val="354C0558"/>
    <w:rsid w:val="35564D04"/>
    <w:rsid w:val="356279EA"/>
    <w:rsid w:val="35667713"/>
    <w:rsid w:val="356C03A6"/>
    <w:rsid w:val="35723579"/>
    <w:rsid w:val="357B3765"/>
    <w:rsid w:val="35816BCD"/>
    <w:rsid w:val="358D2CB9"/>
    <w:rsid w:val="358E6A31"/>
    <w:rsid w:val="358E6EC4"/>
    <w:rsid w:val="35B0303D"/>
    <w:rsid w:val="35B244CD"/>
    <w:rsid w:val="35B53FBD"/>
    <w:rsid w:val="35B9585C"/>
    <w:rsid w:val="35C97A69"/>
    <w:rsid w:val="35CB07F5"/>
    <w:rsid w:val="35CE6E2D"/>
    <w:rsid w:val="35D703D8"/>
    <w:rsid w:val="35DE1766"/>
    <w:rsid w:val="35E3390A"/>
    <w:rsid w:val="35EB6C92"/>
    <w:rsid w:val="35F07E49"/>
    <w:rsid w:val="35F13997"/>
    <w:rsid w:val="35F357A9"/>
    <w:rsid w:val="35F5126F"/>
    <w:rsid w:val="35FA5E74"/>
    <w:rsid w:val="35FF4C4C"/>
    <w:rsid w:val="360016DD"/>
    <w:rsid w:val="360A7CD9"/>
    <w:rsid w:val="360D0006"/>
    <w:rsid w:val="362178A5"/>
    <w:rsid w:val="362871DF"/>
    <w:rsid w:val="362A5396"/>
    <w:rsid w:val="362E499D"/>
    <w:rsid w:val="365D4AD8"/>
    <w:rsid w:val="36660D4B"/>
    <w:rsid w:val="36695F2A"/>
    <w:rsid w:val="36746C70"/>
    <w:rsid w:val="368163A5"/>
    <w:rsid w:val="368718C0"/>
    <w:rsid w:val="36911297"/>
    <w:rsid w:val="36936FAE"/>
    <w:rsid w:val="369479EF"/>
    <w:rsid w:val="36AB4187"/>
    <w:rsid w:val="36B34C76"/>
    <w:rsid w:val="36B929EB"/>
    <w:rsid w:val="36F766D3"/>
    <w:rsid w:val="36FD5C1C"/>
    <w:rsid w:val="370010E7"/>
    <w:rsid w:val="370178BC"/>
    <w:rsid w:val="370532C2"/>
    <w:rsid w:val="37092813"/>
    <w:rsid w:val="370D1815"/>
    <w:rsid w:val="371D305A"/>
    <w:rsid w:val="3729784A"/>
    <w:rsid w:val="372B1F15"/>
    <w:rsid w:val="37313B18"/>
    <w:rsid w:val="37377380"/>
    <w:rsid w:val="37384EA6"/>
    <w:rsid w:val="374000A6"/>
    <w:rsid w:val="37403D5B"/>
    <w:rsid w:val="37454B13"/>
    <w:rsid w:val="37463D2B"/>
    <w:rsid w:val="374843A8"/>
    <w:rsid w:val="37490E61"/>
    <w:rsid w:val="37493A3E"/>
    <w:rsid w:val="374E46CA"/>
    <w:rsid w:val="375513CD"/>
    <w:rsid w:val="37551DF6"/>
    <w:rsid w:val="376216D6"/>
    <w:rsid w:val="37753A04"/>
    <w:rsid w:val="37A27FFE"/>
    <w:rsid w:val="37B81B43"/>
    <w:rsid w:val="37B839A6"/>
    <w:rsid w:val="37C12A6C"/>
    <w:rsid w:val="37C74A79"/>
    <w:rsid w:val="37CE2D3B"/>
    <w:rsid w:val="37CE2D5E"/>
    <w:rsid w:val="37D21C82"/>
    <w:rsid w:val="37E867D2"/>
    <w:rsid w:val="380A4A95"/>
    <w:rsid w:val="381A571F"/>
    <w:rsid w:val="381D7984"/>
    <w:rsid w:val="382F110F"/>
    <w:rsid w:val="38333DDC"/>
    <w:rsid w:val="3845295B"/>
    <w:rsid w:val="38471845"/>
    <w:rsid w:val="384B3D73"/>
    <w:rsid w:val="384B53A8"/>
    <w:rsid w:val="38606463"/>
    <w:rsid w:val="386E1B28"/>
    <w:rsid w:val="38743CBC"/>
    <w:rsid w:val="38752E7D"/>
    <w:rsid w:val="387B36C2"/>
    <w:rsid w:val="387B7EB1"/>
    <w:rsid w:val="388D2FD0"/>
    <w:rsid w:val="38A31A44"/>
    <w:rsid w:val="38AB42F0"/>
    <w:rsid w:val="38AF1198"/>
    <w:rsid w:val="38B36EDA"/>
    <w:rsid w:val="38B8629F"/>
    <w:rsid w:val="38C04BA3"/>
    <w:rsid w:val="38CD76FE"/>
    <w:rsid w:val="38D46E50"/>
    <w:rsid w:val="38D82BB8"/>
    <w:rsid w:val="38E30E42"/>
    <w:rsid w:val="38E37E70"/>
    <w:rsid w:val="38ED2A21"/>
    <w:rsid w:val="38EE5AD4"/>
    <w:rsid w:val="38EF79EB"/>
    <w:rsid w:val="38F1355F"/>
    <w:rsid w:val="39007C46"/>
    <w:rsid w:val="391B11FD"/>
    <w:rsid w:val="391C5B98"/>
    <w:rsid w:val="393618B9"/>
    <w:rsid w:val="393B2A2C"/>
    <w:rsid w:val="394D3D7F"/>
    <w:rsid w:val="39546724"/>
    <w:rsid w:val="39564CC2"/>
    <w:rsid w:val="395D29A2"/>
    <w:rsid w:val="3966103F"/>
    <w:rsid w:val="396D2099"/>
    <w:rsid w:val="397771F6"/>
    <w:rsid w:val="398E3542"/>
    <w:rsid w:val="3997287F"/>
    <w:rsid w:val="39991C63"/>
    <w:rsid w:val="39A24859"/>
    <w:rsid w:val="39A4713B"/>
    <w:rsid w:val="39B57C92"/>
    <w:rsid w:val="39BC65AF"/>
    <w:rsid w:val="39C24EFB"/>
    <w:rsid w:val="39CD77A9"/>
    <w:rsid w:val="39D477B7"/>
    <w:rsid w:val="39E01FED"/>
    <w:rsid w:val="39ED7FCB"/>
    <w:rsid w:val="39EF7F34"/>
    <w:rsid w:val="39FE467A"/>
    <w:rsid w:val="3A0473E4"/>
    <w:rsid w:val="3A0B6CFC"/>
    <w:rsid w:val="3A0D43C8"/>
    <w:rsid w:val="3A1E2386"/>
    <w:rsid w:val="3A267238"/>
    <w:rsid w:val="3A2B6D67"/>
    <w:rsid w:val="3A306A27"/>
    <w:rsid w:val="3A422D7D"/>
    <w:rsid w:val="3A475539"/>
    <w:rsid w:val="3A6235A8"/>
    <w:rsid w:val="3A656D6D"/>
    <w:rsid w:val="3A754B54"/>
    <w:rsid w:val="3A7551EB"/>
    <w:rsid w:val="3A7B57D6"/>
    <w:rsid w:val="3A840F25"/>
    <w:rsid w:val="3A8F734B"/>
    <w:rsid w:val="3A903915"/>
    <w:rsid w:val="3A9664B9"/>
    <w:rsid w:val="3A971BD8"/>
    <w:rsid w:val="3A976388"/>
    <w:rsid w:val="3A976636"/>
    <w:rsid w:val="3A9A7495"/>
    <w:rsid w:val="3A9E08A5"/>
    <w:rsid w:val="3AA257A8"/>
    <w:rsid w:val="3AB224E9"/>
    <w:rsid w:val="3AB3240B"/>
    <w:rsid w:val="3AC151B3"/>
    <w:rsid w:val="3ACF5B21"/>
    <w:rsid w:val="3AE42A27"/>
    <w:rsid w:val="3AEC66D3"/>
    <w:rsid w:val="3AF058D6"/>
    <w:rsid w:val="3AFB4CDA"/>
    <w:rsid w:val="3B043A1D"/>
    <w:rsid w:val="3B104FDA"/>
    <w:rsid w:val="3B143534"/>
    <w:rsid w:val="3B154B25"/>
    <w:rsid w:val="3B2730B2"/>
    <w:rsid w:val="3B4F6924"/>
    <w:rsid w:val="3B563B4D"/>
    <w:rsid w:val="3B563FDF"/>
    <w:rsid w:val="3B703422"/>
    <w:rsid w:val="3B7E16BC"/>
    <w:rsid w:val="3B81506E"/>
    <w:rsid w:val="3B8432F9"/>
    <w:rsid w:val="3B90705F"/>
    <w:rsid w:val="3B9F0AA8"/>
    <w:rsid w:val="3BA4523C"/>
    <w:rsid w:val="3BA77CBC"/>
    <w:rsid w:val="3BBA41C5"/>
    <w:rsid w:val="3BBD597A"/>
    <w:rsid w:val="3BBD5A86"/>
    <w:rsid w:val="3BC16656"/>
    <w:rsid w:val="3BC47D47"/>
    <w:rsid w:val="3BDE4B05"/>
    <w:rsid w:val="3BE04E2B"/>
    <w:rsid w:val="3BE41493"/>
    <w:rsid w:val="3BF07AFD"/>
    <w:rsid w:val="3C095063"/>
    <w:rsid w:val="3C131727"/>
    <w:rsid w:val="3C131F5C"/>
    <w:rsid w:val="3C1852A6"/>
    <w:rsid w:val="3C2F3974"/>
    <w:rsid w:val="3C365CE2"/>
    <w:rsid w:val="3C3B679E"/>
    <w:rsid w:val="3C4147FD"/>
    <w:rsid w:val="3C431D83"/>
    <w:rsid w:val="3C481078"/>
    <w:rsid w:val="3C5146FD"/>
    <w:rsid w:val="3C516D94"/>
    <w:rsid w:val="3C6E4B4B"/>
    <w:rsid w:val="3C7E7741"/>
    <w:rsid w:val="3C884C8E"/>
    <w:rsid w:val="3CA95FA2"/>
    <w:rsid w:val="3CAD0125"/>
    <w:rsid w:val="3CBF68E5"/>
    <w:rsid w:val="3CCD4062"/>
    <w:rsid w:val="3CCF68E1"/>
    <w:rsid w:val="3CEA79A4"/>
    <w:rsid w:val="3CF950D8"/>
    <w:rsid w:val="3CFC0C94"/>
    <w:rsid w:val="3CFC4724"/>
    <w:rsid w:val="3D010CDC"/>
    <w:rsid w:val="3D0305F7"/>
    <w:rsid w:val="3D04624E"/>
    <w:rsid w:val="3D0870C9"/>
    <w:rsid w:val="3D0C6BB9"/>
    <w:rsid w:val="3D1441A7"/>
    <w:rsid w:val="3D1617E6"/>
    <w:rsid w:val="3D1D3B22"/>
    <w:rsid w:val="3D227F2F"/>
    <w:rsid w:val="3D26204C"/>
    <w:rsid w:val="3D266812"/>
    <w:rsid w:val="3D266CD1"/>
    <w:rsid w:val="3D4F00B5"/>
    <w:rsid w:val="3D512088"/>
    <w:rsid w:val="3D516798"/>
    <w:rsid w:val="3D5313D2"/>
    <w:rsid w:val="3D5B369C"/>
    <w:rsid w:val="3D5E5264"/>
    <w:rsid w:val="3D65011B"/>
    <w:rsid w:val="3D66287A"/>
    <w:rsid w:val="3D695DB9"/>
    <w:rsid w:val="3D6C029D"/>
    <w:rsid w:val="3D7C1E28"/>
    <w:rsid w:val="3D873D8C"/>
    <w:rsid w:val="3D9B618F"/>
    <w:rsid w:val="3DAB6365"/>
    <w:rsid w:val="3DAD1296"/>
    <w:rsid w:val="3DAF5796"/>
    <w:rsid w:val="3DB159B2"/>
    <w:rsid w:val="3DBD2104"/>
    <w:rsid w:val="3DC760EF"/>
    <w:rsid w:val="3DC94AAA"/>
    <w:rsid w:val="3DCC3B04"/>
    <w:rsid w:val="3DD516A1"/>
    <w:rsid w:val="3DDD0555"/>
    <w:rsid w:val="3DDE36BE"/>
    <w:rsid w:val="3DEF5F18"/>
    <w:rsid w:val="3DFD5180"/>
    <w:rsid w:val="3E0D7BDE"/>
    <w:rsid w:val="3E103B96"/>
    <w:rsid w:val="3E127A8D"/>
    <w:rsid w:val="3E1F2BEA"/>
    <w:rsid w:val="3E302F32"/>
    <w:rsid w:val="3E303F2F"/>
    <w:rsid w:val="3E36001E"/>
    <w:rsid w:val="3E372317"/>
    <w:rsid w:val="3E376180"/>
    <w:rsid w:val="3E43697D"/>
    <w:rsid w:val="3E4429E4"/>
    <w:rsid w:val="3E587A4B"/>
    <w:rsid w:val="3E5D6BDB"/>
    <w:rsid w:val="3E630A5B"/>
    <w:rsid w:val="3E693B06"/>
    <w:rsid w:val="3E6D6FEB"/>
    <w:rsid w:val="3E7E5894"/>
    <w:rsid w:val="3E85243C"/>
    <w:rsid w:val="3E8B6203"/>
    <w:rsid w:val="3E8E54EA"/>
    <w:rsid w:val="3EAD617A"/>
    <w:rsid w:val="3EBA481B"/>
    <w:rsid w:val="3EBC08C5"/>
    <w:rsid w:val="3EC62CF9"/>
    <w:rsid w:val="3EC84D62"/>
    <w:rsid w:val="3EC945FB"/>
    <w:rsid w:val="3ECF08C8"/>
    <w:rsid w:val="3ED73FE1"/>
    <w:rsid w:val="3EDA3D5A"/>
    <w:rsid w:val="3EE6343A"/>
    <w:rsid w:val="3EE80940"/>
    <w:rsid w:val="3F0538C0"/>
    <w:rsid w:val="3F0B6D0C"/>
    <w:rsid w:val="3F146A06"/>
    <w:rsid w:val="3F1A1953"/>
    <w:rsid w:val="3F1D4606"/>
    <w:rsid w:val="3F2301EA"/>
    <w:rsid w:val="3F2C55C7"/>
    <w:rsid w:val="3F4A7E6C"/>
    <w:rsid w:val="3F4C14EF"/>
    <w:rsid w:val="3F5B0012"/>
    <w:rsid w:val="3F630997"/>
    <w:rsid w:val="3F697F50"/>
    <w:rsid w:val="3F7B5330"/>
    <w:rsid w:val="3F874336"/>
    <w:rsid w:val="3F942621"/>
    <w:rsid w:val="3F966C0E"/>
    <w:rsid w:val="3F9D6978"/>
    <w:rsid w:val="3FAA068A"/>
    <w:rsid w:val="3FB3156E"/>
    <w:rsid w:val="3FBF2952"/>
    <w:rsid w:val="3FC55A71"/>
    <w:rsid w:val="3FCC739A"/>
    <w:rsid w:val="3FCF5664"/>
    <w:rsid w:val="3FDB0AC5"/>
    <w:rsid w:val="3FDC1B9A"/>
    <w:rsid w:val="3FE90E89"/>
    <w:rsid w:val="3FE94F8F"/>
    <w:rsid w:val="3FEC4A80"/>
    <w:rsid w:val="400F017B"/>
    <w:rsid w:val="40165FBC"/>
    <w:rsid w:val="40250DDD"/>
    <w:rsid w:val="40292844"/>
    <w:rsid w:val="403219C2"/>
    <w:rsid w:val="403A3A3D"/>
    <w:rsid w:val="40471DC9"/>
    <w:rsid w:val="404878C8"/>
    <w:rsid w:val="40552625"/>
    <w:rsid w:val="40610FCA"/>
    <w:rsid w:val="40701492"/>
    <w:rsid w:val="40773844"/>
    <w:rsid w:val="407835E1"/>
    <w:rsid w:val="408D7BF5"/>
    <w:rsid w:val="40925627"/>
    <w:rsid w:val="40AB324E"/>
    <w:rsid w:val="40BF3F42"/>
    <w:rsid w:val="40C41D92"/>
    <w:rsid w:val="40DE0D4E"/>
    <w:rsid w:val="41000AF8"/>
    <w:rsid w:val="410F3EEE"/>
    <w:rsid w:val="41112E44"/>
    <w:rsid w:val="41153050"/>
    <w:rsid w:val="41171FD0"/>
    <w:rsid w:val="411B386E"/>
    <w:rsid w:val="412121D0"/>
    <w:rsid w:val="41261C2A"/>
    <w:rsid w:val="412D01FD"/>
    <w:rsid w:val="4130274E"/>
    <w:rsid w:val="41354204"/>
    <w:rsid w:val="413B516D"/>
    <w:rsid w:val="41543A9E"/>
    <w:rsid w:val="41593AF9"/>
    <w:rsid w:val="41635215"/>
    <w:rsid w:val="4166378E"/>
    <w:rsid w:val="416A5666"/>
    <w:rsid w:val="41715E00"/>
    <w:rsid w:val="4174047E"/>
    <w:rsid w:val="417F2794"/>
    <w:rsid w:val="41847666"/>
    <w:rsid w:val="41970A1B"/>
    <w:rsid w:val="41AC2719"/>
    <w:rsid w:val="41AD023F"/>
    <w:rsid w:val="41AF7178"/>
    <w:rsid w:val="41B24EB1"/>
    <w:rsid w:val="41B913A7"/>
    <w:rsid w:val="41BE31A9"/>
    <w:rsid w:val="41D41C6F"/>
    <w:rsid w:val="41D72E9F"/>
    <w:rsid w:val="41EF3124"/>
    <w:rsid w:val="41F763D9"/>
    <w:rsid w:val="41FA7928"/>
    <w:rsid w:val="41FF4F3E"/>
    <w:rsid w:val="420846AC"/>
    <w:rsid w:val="42167A37"/>
    <w:rsid w:val="421A4984"/>
    <w:rsid w:val="42277FF1"/>
    <w:rsid w:val="422E312E"/>
    <w:rsid w:val="423435DB"/>
    <w:rsid w:val="42393317"/>
    <w:rsid w:val="423E0D93"/>
    <w:rsid w:val="42424E2B"/>
    <w:rsid w:val="42425A2A"/>
    <w:rsid w:val="426303C6"/>
    <w:rsid w:val="4277087B"/>
    <w:rsid w:val="427B3E8B"/>
    <w:rsid w:val="427C1FAA"/>
    <w:rsid w:val="4284081D"/>
    <w:rsid w:val="428644B2"/>
    <w:rsid w:val="42927B60"/>
    <w:rsid w:val="42B817EB"/>
    <w:rsid w:val="42B95A24"/>
    <w:rsid w:val="42BC5377"/>
    <w:rsid w:val="42D1121B"/>
    <w:rsid w:val="42DA6464"/>
    <w:rsid w:val="42E2492B"/>
    <w:rsid w:val="42E47F52"/>
    <w:rsid w:val="42E67EAC"/>
    <w:rsid w:val="42E83C24"/>
    <w:rsid w:val="43063EBA"/>
    <w:rsid w:val="430774B1"/>
    <w:rsid w:val="432C1CC9"/>
    <w:rsid w:val="433429C6"/>
    <w:rsid w:val="43397DF1"/>
    <w:rsid w:val="4346094B"/>
    <w:rsid w:val="435968D0"/>
    <w:rsid w:val="435C6949"/>
    <w:rsid w:val="436020D0"/>
    <w:rsid w:val="436621F5"/>
    <w:rsid w:val="436B5327"/>
    <w:rsid w:val="43754F1D"/>
    <w:rsid w:val="43761230"/>
    <w:rsid w:val="43865F91"/>
    <w:rsid w:val="438A6FBC"/>
    <w:rsid w:val="438E26B7"/>
    <w:rsid w:val="439162A1"/>
    <w:rsid w:val="439934E3"/>
    <w:rsid w:val="439E0787"/>
    <w:rsid w:val="439E265D"/>
    <w:rsid w:val="43A370BC"/>
    <w:rsid w:val="43AC5FDA"/>
    <w:rsid w:val="43B35FE0"/>
    <w:rsid w:val="43B46834"/>
    <w:rsid w:val="43C401ED"/>
    <w:rsid w:val="43C71A8C"/>
    <w:rsid w:val="43CD3327"/>
    <w:rsid w:val="43DE4E50"/>
    <w:rsid w:val="43E0647E"/>
    <w:rsid w:val="43E62D31"/>
    <w:rsid w:val="43E96D47"/>
    <w:rsid w:val="43EF13CB"/>
    <w:rsid w:val="43F03CA1"/>
    <w:rsid w:val="43F6299A"/>
    <w:rsid w:val="43F6411F"/>
    <w:rsid w:val="43FB006F"/>
    <w:rsid w:val="44212864"/>
    <w:rsid w:val="44286404"/>
    <w:rsid w:val="44362FE0"/>
    <w:rsid w:val="443A65B8"/>
    <w:rsid w:val="443B62AE"/>
    <w:rsid w:val="443B78ED"/>
    <w:rsid w:val="443C4228"/>
    <w:rsid w:val="44615396"/>
    <w:rsid w:val="44625310"/>
    <w:rsid w:val="446414AF"/>
    <w:rsid w:val="446605EE"/>
    <w:rsid w:val="44663A30"/>
    <w:rsid w:val="446C618F"/>
    <w:rsid w:val="4474267F"/>
    <w:rsid w:val="44756D92"/>
    <w:rsid w:val="44866523"/>
    <w:rsid w:val="4493196E"/>
    <w:rsid w:val="44951ADE"/>
    <w:rsid w:val="449B4698"/>
    <w:rsid w:val="44A4772E"/>
    <w:rsid w:val="44A94D55"/>
    <w:rsid w:val="44AB14CD"/>
    <w:rsid w:val="44AD2C9C"/>
    <w:rsid w:val="44B327D2"/>
    <w:rsid w:val="44C45148"/>
    <w:rsid w:val="44C90286"/>
    <w:rsid w:val="44C94654"/>
    <w:rsid w:val="44DC538D"/>
    <w:rsid w:val="44DE531F"/>
    <w:rsid w:val="44EB3558"/>
    <w:rsid w:val="44F41584"/>
    <w:rsid w:val="44F8684F"/>
    <w:rsid w:val="450A7EC6"/>
    <w:rsid w:val="450D34CE"/>
    <w:rsid w:val="45232EE4"/>
    <w:rsid w:val="45282873"/>
    <w:rsid w:val="45392515"/>
    <w:rsid w:val="45394859"/>
    <w:rsid w:val="453A2503"/>
    <w:rsid w:val="45423304"/>
    <w:rsid w:val="45452095"/>
    <w:rsid w:val="454A4722"/>
    <w:rsid w:val="454D08A9"/>
    <w:rsid w:val="455832B8"/>
    <w:rsid w:val="455E15FC"/>
    <w:rsid w:val="456357E4"/>
    <w:rsid w:val="456652D4"/>
    <w:rsid w:val="457A491B"/>
    <w:rsid w:val="45834E06"/>
    <w:rsid w:val="458D2861"/>
    <w:rsid w:val="4591312A"/>
    <w:rsid w:val="45927860"/>
    <w:rsid w:val="459E4A6E"/>
    <w:rsid w:val="459F018A"/>
    <w:rsid w:val="45A0458F"/>
    <w:rsid w:val="45A54224"/>
    <w:rsid w:val="45A8762F"/>
    <w:rsid w:val="45B02CE9"/>
    <w:rsid w:val="45B20084"/>
    <w:rsid w:val="45B71C12"/>
    <w:rsid w:val="45C216EA"/>
    <w:rsid w:val="45D33FD0"/>
    <w:rsid w:val="45D73ADC"/>
    <w:rsid w:val="45E75668"/>
    <w:rsid w:val="45F66B7A"/>
    <w:rsid w:val="45FF2078"/>
    <w:rsid w:val="45FF2944"/>
    <w:rsid w:val="46007629"/>
    <w:rsid w:val="46014549"/>
    <w:rsid w:val="46024FFD"/>
    <w:rsid w:val="460744D3"/>
    <w:rsid w:val="46094DA4"/>
    <w:rsid w:val="4629258A"/>
    <w:rsid w:val="46292A36"/>
    <w:rsid w:val="462A2B8B"/>
    <w:rsid w:val="462C207A"/>
    <w:rsid w:val="463B5F62"/>
    <w:rsid w:val="464A5311"/>
    <w:rsid w:val="464C40CE"/>
    <w:rsid w:val="465A6EA2"/>
    <w:rsid w:val="46640D90"/>
    <w:rsid w:val="46734918"/>
    <w:rsid w:val="4684234C"/>
    <w:rsid w:val="46894543"/>
    <w:rsid w:val="46986BF2"/>
    <w:rsid w:val="469E508F"/>
    <w:rsid w:val="469E62DF"/>
    <w:rsid w:val="46A15DB9"/>
    <w:rsid w:val="46AA4DCF"/>
    <w:rsid w:val="46C637D1"/>
    <w:rsid w:val="46C95B1B"/>
    <w:rsid w:val="46FA5E5E"/>
    <w:rsid w:val="46FF3228"/>
    <w:rsid w:val="470A6F25"/>
    <w:rsid w:val="470D3C59"/>
    <w:rsid w:val="471B44EE"/>
    <w:rsid w:val="47307948"/>
    <w:rsid w:val="47381007"/>
    <w:rsid w:val="47542C40"/>
    <w:rsid w:val="4754739F"/>
    <w:rsid w:val="476F66C2"/>
    <w:rsid w:val="477C0DDF"/>
    <w:rsid w:val="477C10FD"/>
    <w:rsid w:val="478447FF"/>
    <w:rsid w:val="47873EDA"/>
    <w:rsid w:val="47897897"/>
    <w:rsid w:val="47901F03"/>
    <w:rsid w:val="479219DD"/>
    <w:rsid w:val="479E0D55"/>
    <w:rsid w:val="47A17F0C"/>
    <w:rsid w:val="47A91720"/>
    <w:rsid w:val="47AC2654"/>
    <w:rsid w:val="47AD0F98"/>
    <w:rsid w:val="47AF7E4A"/>
    <w:rsid w:val="47B42D60"/>
    <w:rsid w:val="47BF5082"/>
    <w:rsid w:val="47CC0859"/>
    <w:rsid w:val="47DA5134"/>
    <w:rsid w:val="47DD2CA1"/>
    <w:rsid w:val="47DE6E97"/>
    <w:rsid w:val="47E628D6"/>
    <w:rsid w:val="47F210A1"/>
    <w:rsid w:val="48040D9F"/>
    <w:rsid w:val="48101B40"/>
    <w:rsid w:val="4817692A"/>
    <w:rsid w:val="481B410F"/>
    <w:rsid w:val="48294359"/>
    <w:rsid w:val="48336B6D"/>
    <w:rsid w:val="48384D06"/>
    <w:rsid w:val="484511D1"/>
    <w:rsid w:val="48466313"/>
    <w:rsid w:val="48474F49"/>
    <w:rsid w:val="484A7011"/>
    <w:rsid w:val="484B796D"/>
    <w:rsid w:val="485012C3"/>
    <w:rsid w:val="485578E8"/>
    <w:rsid w:val="48677399"/>
    <w:rsid w:val="486C1198"/>
    <w:rsid w:val="48711FC6"/>
    <w:rsid w:val="487D47CB"/>
    <w:rsid w:val="487E4783"/>
    <w:rsid w:val="489863BF"/>
    <w:rsid w:val="48B24A62"/>
    <w:rsid w:val="48B46442"/>
    <w:rsid w:val="48C85A37"/>
    <w:rsid w:val="48CB3DCC"/>
    <w:rsid w:val="48D02C88"/>
    <w:rsid w:val="48D72771"/>
    <w:rsid w:val="490D428B"/>
    <w:rsid w:val="491A7957"/>
    <w:rsid w:val="49230C23"/>
    <w:rsid w:val="493F58BA"/>
    <w:rsid w:val="49470F79"/>
    <w:rsid w:val="494F67AB"/>
    <w:rsid w:val="495A3D43"/>
    <w:rsid w:val="49680954"/>
    <w:rsid w:val="496E6209"/>
    <w:rsid w:val="497955D6"/>
    <w:rsid w:val="497D67E6"/>
    <w:rsid w:val="497E71D6"/>
    <w:rsid w:val="497F3D90"/>
    <w:rsid w:val="4993185C"/>
    <w:rsid w:val="4994138A"/>
    <w:rsid w:val="499C7278"/>
    <w:rsid w:val="49A563CB"/>
    <w:rsid w:val="49B745B0"/>
    <w:rsid w:val="49B8251D"/>
    <w:rsid w:val="49BF5B81"/>
    <w:rsid w:val="49C878A2"/>
    <w:rsid w:val="49D37486"/>
    <w:rsid w:val="49D40A5E"/>
    <w:rsid w:val="49E767AC"/>
    <w:rsid w:val="49EA2C70"/>
    <w:rsid w:val="49EE3619"/>
    <w:rsid w:val="49F033BE"/>
    <w:rsid w:val="49F64E79"/>
    <w:rsid w:val="49F96717"/>
    <w:rsid w:val="4A0A3AE3"/>
    <w:rsid w:val="4A166E20"/>
    <w:rsid w:val="4A17502A"/>
    <w:rsid w:val="4A1D09A4"/>
    <w:rsid w:val="4A225551"/>
    <w:rsid w:val="4A2D3F04"/>
    <w:rsid w:val="4A353048"/>
    <w:rsid w:val="4A44648C"/>
    <w:rsid w:val="4A6E7956"/>
    <w:rsid w:val="4A6F1884"/>
    <w:rsid w:val="4A77763C"/>
    <w:rsid w:val="4A787384"/>
    <w:rsid w:val="4A7D6659"/>
    <w:rsid w:val="4A823615"/>
    <w:rsid w:val="4AA25EC4"/>
    <w:rsid w:val="4AAC6A06"/>
    <w:rsid w:val="4AAF0CF8"/>
    <w:rsid w:val="4AB32D6A"/>
    <w:rsid w:val="4AB95114"/>
    <w:rsid w:val="4ABB4364"/>
    <w:rsid w:val="4ABC69C0"/>
    <w:rsid w:val="4AC776C8"/>
    <w:rsid w:val="4AD7194D"/>
    <w:rsid w:val="4AD74508"/>
    <w:rsid w:val="4ADB53F8"/>
    <w:rsid w:val="4AEF030B"/>
    <w:rsid w:val="4AF62C56"/>
    <w:rsid w:val="4AFA1268"/>
    <w:rsid w:val="4B1876FD"/>
    <w:rsid w:val="4B1A6945"/>
    <w:rsid w:val="4B313DD8"/>
    <w:rsid w:val="4B3547FE"/>
    <w:rsid w:val="4B3E6C99"/>
    <w:rsid w:val="4B510F21"/>
    <w:rsid w:val="4B5402E1"/>
    <w:rsid w:val="4B541BD0"/>
    <w:rsid w:val="4B56363F"/>
    <w:rsid w:val="4B5B76D6"/>
    <w:rsid w:val="4B6E0A3F"/>
    <w:rsid w:val="4B7500B7"/>
    <w:rsid w:val="4B767808"/>
    <w:rsid w:val="4B7A5635"/>
    <w:rsid w:val="4B7B08D9"/>
    <w:rsid w:val="4B7D20B3"/>
    <w:rsid w:val="4B85158D"/>
    <w:rsid w:val="4B885FA4"/>
    <w:rsid w:val="4B8E4B9B"/>
    <w:rsid w:val="4B923CE8"/>
    <w:rsid w:val="4B9B0425"/>
    <w:rsid w:val="4BA05457"/>
    <w:rsid w:val="4BAD31BB"/>
    <w:rsid w:val="4BBA7F91"/>
    <w:rsid w:val="4BBB6817"/>
    <w:rsid w:val="4BD67B6A"/>
    <w:rsid w:val="4BD80EAB"/>
    <w:rsid w:val="4BDD5F4B"/>
    <w:rsid w:val="4BDF762B"/>
    <w:rsid w:val="4BE05777"/>
    <w:rsid w:val="4BE47C0D"/>
    <w:rsid w:val="4BE96317"/>
    <w:rsid w:val="4BFA1AF8"/>
    <w:rsid w:val="4C043898"/>
    <w:rsid w:val="4C207F8B"/>
    <w:rsid w:val="4C277DFE"/>
    <w:rsid w:val="4C2B2343"/>
    <w:rsid w:val="4C36420B"/>
    <w:rsid w:val="4C387DA0"/>
    <w:rsid w:val="4C416156"/>
    <w:rsid w:val="4C4B0D80"/>
    <w:rsid w:val="4C4B2C47"/>
    <w:rsid w:val="4C575977"/>
    <w:rsid w:val="4C5E6D05"/>
    <w:rsid w:val="4C6D0CF6"/>
    <w:rsid w:val="4C760D61"/>
    <w:rsid w:val="4C97119A"/>
    <w:rsid w:val="4C9C571B"/>
    <w:rsid w:val="4C9D1C71"/>
    <w:rsid w:val="4CA122CB"/>
    <w:rsid w:val="4CAF130F"/>
    <w:rsid w:val="4CC833FC"/>
    <w:rsid w:val="4CD314A1"/>
    <w:rsid w:val="4CF136D5"/>
    <w:rsid w:val="4CF65190"/>
    <w:rsid w:val="4CF660E6"/>
    <w:rsid w:val="4D0B0C3B"/>
    <w:rsid w:val="4D197569"/>
    <w:rsid w:val="4D1B69A4"/>
    <w:rsid w:val="4D1C4C21"/>
    <w:rsid w:val="4D1C616F"/>
    <w:rsid w:val="4D2D30EA"/>
    <w:rsid w:val="4D3857A8"/>
    <w:rsid w:val="4D6E2F78"/>
    <w:rsid w:val="4D6F19AC"/>
    <w:rsid w:val="4D7A2E92"/>
    <w:rsid w:val="4D7D1B31"/>
    <w:rsid w:val="4D7E08A7"/>
    <w:rsid w:val="4D844C09"/>
    <w:rsid w:val="4D852196"/>
    <w:rsid w:val="4D8C33FE"/>
    <w:rsid w:val="4DA17C13"/>
    <w:rsid w:val="4DA60597"/>
    <w:rsid w:val="4DAD5952"/>
    <w:rsid w:val="4DB91727"/>
    <w:rsid w:val="4DCE0165"/>
    <w:rsid w:val="4DD34113"/>
    <w:rsid w:val="4DD728CB"/>
    <w:rsid w:val="4DD74FC1"/>
    <w:rsid w:val="4DDF0AA0"/>
    <w:rsid w:val="4DE7068B"/>
    <w:rsid w:val="4DF83B14"/>
    <w:rsid w:val="4DFD55AE"/>
    <w:rsid w:val="4E006862"/>
    <w:rsid w:val="4E01407B"/>
    <w:rsid w:val="4E0308F5"/>
    <w:rsid w:val="4E067654"/>
    <w:rsid w:val="4E0F68A3"/>
    <w:rsid w:val="4E17716C"/>
    <w:rsid w:val="4E24578D"/>
    <w:rsid w:val="4E2E6CE6"/>
    <w:rsid w:val="4E3008AC"/>
    <w:rsid w:val="4E312DF1"/>
    <w:rsid w:val="4E347D1E"/>
    <w:rsid w:val="4E39210A"/>
    <w:rsid w:val="4E3A5B9D"/>
    <w:rsid w:val="4E3B5550"/>
    <w:rsid w:val="4E3C4330"/>
    <w:rsid w:val="4E3E6E1C"/>
    <w:rsid w:val="4E3F6BF0"/>
    <w:rsid w:val="4E434405"/>
    <w:rsid w:val="4E497D47"/>
    <w:rsid w:val="4E4A7541"/>
    <w:rsid w:val="4E50298C"/>
    <w:rsid w:val="4E5947E4"/>
    <w:rsid w:val="4E6454B8"/>
    <w:rsid w:val="4E6A03A3"/>
    <w:rsid w:val="4E824F2D"/>
    <w:rsid w:val="4EBE6CA9"/>
    <w:rsid w:val="4EBF0CBE"/>
    <w:rsid w:val="4ED33F25"/>
    <w:rsid w:val="4ED92343"/>
    <w:rsid w:val="4ED96B17"/>
    <w:rsid w:val="4EFB6556"/>
    <w:rsid w:val="4F0505E2"/>
    <w:rsid w:val="4F0A0A7E"/>
    <w:rsid w:val="4F161B19"/>
    <w:rsid w:val="4F162E7F"/>
    <w:rsid w:val="4F196F13"/>
    <w:rsid w:val="4F1C7689"/>
    <w:rsid w:val="4F202B43"/>
    <w:rsid w:val="4F204746"/>
    <w:rsid w:val="4F2255F9"/>
    <w:rsid w:val="4F2935FA"/>
    <w:rsid w:val="4F322E21"/>
    <w:rsid w:val="4F3F79FE"/>
    <w:rsid w:val="4F4740B2"/>
    <w:rsid w:val="4F50502B"/>
    <w:rsid w:val="4F590729"/>
    <w:rsid w:val="4F6C3268"/>
    <w:rsid w:val="4F6F536C"/>
    <w:rsid w:val="4F701691"/>
    <w:rsid w:val="4F714528"/>
    <w:rsid w:val="4F844CD5"/>
    <w:rsid w:val="4F8933C5"/>
    <w:rsid w:val="4F8B7E11"/>
    <w:rsid w:val="4F8E7681"/>
    <w:rsid w:val="4F963B07"/>
    <w:rsid w:val="4F9A28CE"/>
    <w:rsid w:val="4F9F0169"/>
    <w:rsid w:val="4FA504DF"/>
    <w:rsid w:val="4FA964E9"/>
    <w:rsid w:val="4FAA3A37"/>
    <w:rsid w:val="4FAE3B00"/>
    <w:rsid w:val="4FBD6A0B"/>
    <w:rsid w:val="4FDD74FB"/>
    <w:rsid w:val="4FDF320C"/>
    <w:rsid w:val="4FF21C3E"/>
    <w:rsid w:val="4FF5172F"/>
    <w:rsid w:val="50106568"/>
    <w:rsid w:val="50124AAD"/>
    <w:rsid w:val="50146059"/>
    <w:rsid w:val="501B50CD"/>
    <w:rsid w:val="5032028D"/>
    <w:rsid w:val="50333CCD"/>
    <w:rsid w:val="50350822"/>
    <w:rsid w:val="50377F99"/>
    <w:rsid w:val="5038161B"/>
    <w:rsid w:val="503E22CA"/>
    <w:rsid w:val="504321F5"/>
    <w:rsid w:val="50463487"/>
    <w:rsid w:val="504B57F2"/>
    <w:rsid w:val="504B7DC4"/>
    <w:rsid w:val="504E7BDB"/>
    <w:rsid w:val="505B5164"/>
    <w:rsid w:val="50662E21"/>
    <w:rsid w:val="507C59AC"/>
    <w:rsid w:val="508446A4"/>
    <w:rsid w:val="508F0107"/>
    <w:rsid w:val="50942CF5"/>
    <w:rsid w:val="50A30792"/>
    <w:rsid w:val="50A8583E"/>
    <w:rsid w:val="50B27620"/>
    <w:rsid w:val="50BB64D4"/>
    <w:rsid w:val="50C13B4F"/>
    <w:rsid w:val="50C40AB5"/>
    <w:rsid w:val="50C81701"/>
    <w:rsid w:val="50CF375F"/>
    <w:rsid w:val="50D14B0C"/>
    <w:rsid w:val="50EC2B32"/>
    <w:rsid w:val="50F40EE2"/>
    <w:rsid w:val="510B3113"/>
    <w:rsid w:val="510C2368"/>
    <w:rsid w:val="513639D2"/>
    <w:rsid w:val="51453FF0"/>
    <w:rsid w:val="514F26B1"/>
    <w:rsid w:val="515B2DE5"/>
    <w:rsid w:val="51622DF4"/>
    <w:rsid w:val="516A330C"/>
    <w:rsid w:val="517323AB"/>
    <w:rsid w:val="51736DAF"/>
    <w:rsid w:val="517B3E7D"/>
    <w:rsid w:val="51890380"/>
    <w:rsid w:val="518E3BE9"/>
    <w:rsid w:val="519F7BA4"/>
    <w:rsid w:val="51A60F32"/>
    <w:rsid w:val="51A64766"/>
    <w:rsid w:val="51C07E7F"/>
    <w:rsid w:val="51C130AF"/>
    <w:rsid w:val="51C202E9"/>
    <w:rsid w:val="51C37DF4"/>
    <w:rsid w:val="51C413B8"/>
    <w:rsid w:val="51C91B5D"/>
    <w:rsid w:val="51D349BB"/>
    <w:rsid w:val="51D830B6"/>
    <w:rsid w:val="51DA0BDC"/>
    <w:rsid w:val="51DC334C"/>
    <w:rsid w:val="51E8054B"/>
    <w:rsid w:val="51E90E1F"/>
    <w:rsid w:val="51EE4F7D"/>
    <w:rsid w:val="51F30F85"/>
    <w:rsid w:val="51FB7EDE"/>
    <w:rsid w:val="51FC367D"/>
    <w:rsid w:val="5201085F"/>
    <w:rsid w:val="520C6802"/>
    <w:rsid w:val="52187956"/>
    <w:rsid w:val="52192E41"/>
    <w:rsid w:val="521E0C81"/>
    <w:rsid w:val="52255D17"/>
    <w:rsid w:val="52310F94"/>
    <w:rsid w:val="52362196"/>
    <w:rsid w:val="52364AF0"/>
    <w:rsid w:val="52393851"/>
    <w:rsid w:val="523D116B"/>
    <w:rsid w:val="52410C5B"/>
    <w:rsid w:val="5243489C"/>
    <w:rsid w:val="524B3CC0"/>
    <w:rsid w:val="524B5B84"/>
    <w:rsid w:val="524B6A9C"/>
    <w:rsid w:val="52522ACF"/>
    <w:rsid w:val="52532D30"/>
    <w:rsid w:val="525A6898"/>
    <w:rsid w:val="525B1B1F"/>
    <w:rsid w:val="5268268C"/>
    <w:rsid w:val="526C0667"/>
    <w:rsid w:val="52707792"/>
    <w:rsid w:val="527434F3"/>
    <w:rsid w:val="5279028E"/>
    <w:rsid w:val="527B7DAF"/>
    <w:rsid w:val="528D20F2"/>
    <w:rsid w:val="52952311"/>
    <w:rsid w:val="529D782B"/>
    <w:rsid w:val="52A3451B"/>
    <w:rsid w:val="52A649FD"/>
    <w:rsid w:val="52AF02BB"/>
    <w:rsid w:val="52B35888"/>
    <w:rsid w:val="52BF7924"/>
    <w:rsid w:val="52C1395D"/>
    <w:rsid w:val="52C47CAD"/>
    <w:rsid w:val="52CA3653"/>
    <w:rsid w:val="52CA65AF"/>
    <w:rsid w:val="52CE1EC5"/>
    <w:rsid w:val="52DB4C0C"/>
    <w:rsid w:val="52E05ADE"/>
    <w:rsid w:val="52E55A8A"/>
    <w:rsid w:val="52EC506B"/>
    <w:rsid w:val="52F42171"/>
    <w:rsid w:val="530E1B3F"/>
    <w:rsid w:val="53104CC1"/>
    <w:rsid w:val="53106ABC"/>
    <w:rsid w:val="53116998"/>
    <w:rsid w:val="531C6132"/>
    <w:rsid w:val="53202F66"/>
    <w:rsid w:val="53206398"/>
    <w:rsid w:val="53263C1A"/>
    <w:rsid w:val="532F31A9"/>
    <w:rsid w:val="533D1715"/>
    <w:rsid w:val="53407165"/>
    <w:rsid w:val="534111C5"/>
    <w:rsid w:val="5349426B"/>
    <w:rsid w:val="534E7AD3"/>
    <w:rsid w:val="53524C31"/>
    <w:rsid w:val="536062F9"/>
    <w:rsid w:val="53771FA6"/>
    <w:rsid w:val="537868FE"/>
    <w:rsid w:val="537A71A0"/>
    <w:rsid w:val="537B20CA"/>
    <w:rsid w:val="53907C29"/>
    <w:rsid w:val="53A276CC"/>
    <w:rsid w:val="53A37BEA"/>
    <w:rsid w:val="53A51FB4"/>
    <w:rsid w:val="53A72D40"/>
    <w:rsid w:val="53AB0094"/>
    <w:rsid w:val="53AF181A"/>
    <w:rsid w:val="53B42957"/>
    <w:rsid w:val="53B6628E"/>
    <w:rsid w:val="53BB11A3"/>
    <w:rsid w:val="53BD07B5"/>
    <w:rsid w:val="53CD6A9A"/>
    <w:rsid w:val="53D06487"/>
    <w:rsid w:val="53F71F19"/>
    <w:rsid w:val="53F817ED"/>
    <w:rsid w:val="53FD6E04"/>
    <w:rsid w:val="540208BE"/>
    <w:rsid w:val="54025999"/>
    <w:rsid w:val="540615F2"/>
    <w:rsid w:val="540939FA"/>
    <w:rsid w:val="542049EB"/>
    <w:rsid w:val="54225D1D"/>
    <w:rsid w:val="54251766"/>
    <w:rsid w:val="542720D3"/>
    <w:rsid w:val="542E520F"/>
    <w:rsid w:val="543547EF"/>
    <w:rsid w:val="543C465E"/>
    <w:rsid w:val="54537D7B"/>
    <w:rsid w:val="545548B2"/>
    <w:rsid w:val="54582172"/>
    <w:rsid w:val="545B278A"/>
    <w:rsid w:val="54754BEC"/>
    <w:rsid w:val="54766524"/>
    <w:rsid w:val="548038CB"/>
    <w:rsid w:val="54826060"/>
    <w:rsid w:val="54837309"/>
    <w:rsid w:val="549534E0"/>
    <w:rsid w:val="549664C0"/>
    <w:rsid w:val="549E4033"/>
    <w:rsid w:val="54A04DF6"/>
    <w:rsid w:val="54A4008D"/>
    <w:rsid w:val="54A617DA"/>
    <w:rsid w:val="54A84B83"/>
    <w:rsid w:val="54AF6350"/>
    <w:rsid w:val="54B43966"/>
    <w:rsid w:val="54C02529"/>
    <w:rsid w:val="54CD51BE"/>
    <w:rsid w:val="54D640E9"/>
    <w:rsid w:val="54DD22F4"/>
    <w:rsid w:val="54DF284C"/>
    <w:rsid w:val="54E027A0"/>
    <w:rsid w:val="54F97502"/>
    <w:rsid w:val="54FA6C07"/>
    <w:rsid w:val="54FD1514"/>
    <w:rsid w:val="55001EEF"/>
    <w:rsid w:val="550B72FE"/>
    <w:rsid w:val="5516693D"/>
    <w:rsid w:val="551B2D7C"/>
    <w:rsid w:val="551D0EC3"/>
    <w:rsid w:val="553928B2"/>
    <w:rsid w:val="553E580A"/>
    <w:rsid w:val="554142FA"/>
    <w:rsid w:val="55497A7E"/>
    <w:rsid w:val="554E00A2"/>
    <w:rsid w:val="554F5749"/>
    <w:rsid w:val="55582E57"/>
    <w:rsid w:val="55591818"/>
    <w:rsid w:val="5560289D"/>
    <w:rsid w:val="556E620B"/>
    <w:rsid w:val="556F2644"/>
    <w:rsid w:val="55722307"/>
    <w:rsid w:val="55774994"/>
    <w:rsid w:val="557C1FAA"/>
    <w:rsid w:val="5594441B"/>
    <w:rsid w:val="55967510"/>
    <w:rsid w:val="55A20B3C"/>
    <w:rsid w:val="55A90FF1"/>
    <w:rsid w:val="55B17F8E"/>
    <w:rsid w:val="55B65A3B"/>
    <w:rsid w:val="55BA1450"/>
    <w:rsid w:val="55C20305"/>
    <w:rsid w:val="55C32076"/>
    <w:rsid w:val="55C92B82"/>
    <w:rsid w:val="55CE36CA"/>
    <w:rsid w:val="55DA38A0"/>
    <w:rsid w:val="55EC7130"/>
    <w:rsid w:val="56064695"/>
    <w:rsid w:val="56074B47"/>
    <w:rsid w:val="5607736A"/>
    <w:rsid w:val="56232F49"/>
    <w:rsid w:val="562B7C58"/>
    <w:rsid w:val="562D7F60"/>
    <w:rsid w:val="563665FD"/>
    <w:rsid w:val="564007CD"/>
    <w:rsid w:val="564156CE"/>
    <w:rsid w:val="564209B4"/>
    <w:rsid w:val="56503B63"/>
    <w:rsid w:val="56513934"/>
    <w:rsid w:val="56690F71"/>
    <w:rsid w:val="567E563C"/>
    <w:rsid w:val="56915CAE"/>
    <w:rsid w:val="56A01F5C"/>
    <w:rsid w:val="56A0235F"/>
    <w:rsid w:val="56A45C5C"/>
    <w:rsid w:val="56A619D5"/>
    <w:rsid w:val="56B441EB"/>
    <w:rsid w:val="56BD287A"/>
    <w:rsid w:val="56BE1E5D"/>
    <w:rsid w:val="56D82D0E"/>
    <w:rsid w:val="56D970D9"/>
    <w:rsid w:val="56E166AE"/>
    <w:rsid w:val="56E30139"/>
    <w:rsid w:val="56EA18C1"/>
    <w:rsid w:val="56EF4981"/>
    <w:rsid w:val="56FB2443"/>
    <w:rsid w:val="570D7DF1"/>
    <w:rsid w:val="570F30D6"/>
    <w:rsid w:val="57256D9D"/>
    <w:rsid w:val="57360562"/>
    <w:rsid w:val="57436469"/>
    <w:rsid w:val="574A2360"/>
    <w:rsid w:val="574E1662"/>
    <w:rsid w:val="574F5BC8"/>
    <w:rsid w:val="57511940"/>
    <w:rsid w:val="57517B92"/>
    <w:rsid w:val="575B631B"/>
    <w:rsid w:val="57646208"/>
    <w:rsid w:val="576D24F2"/>
    <w:rsid w:val="576E6BD6"/>
    <w:rsid w:val="576F1DC6"/>
    <w:rsid w:val="577075F6"/>
    <w:rsid w:val="57707A2E"/>
    <w:rsid w:val="578211D6"/>
    <w:rsid w:val="578F4D8A"/>
    <w:rsid w:val="5790539F"/>
    <w:rsid w:val="57963D10"/>
    <w:rsid w:val="579C017D"/>
    <w:rsid w:val="57AC6B77"/>
    <w:rsid w:val="57AD2DC1"/>
    <w:rsid w:val="57B33EE5"/>
    <w:rsid w:val="57BC3BA7"/>
    <w:rsid w:val="57BF2D4E"/>
    <w:rsid w:val="57C540DC"/>
    <w:rsid w:val="57CC5C10"/>
    <w:rsid w:val="57D305A7"/>
    <w:rsid w:val="57E34553"/>
    <w:rsid w:val="57EF1938"/>
    <w:rsid w:val="57F60C1C"/>
    <w:rsid w:val="57F664A8"/>
    <w:rsid w:val="57FA6701"/>
    <w:rsid w:val="57FB7AFE"/>
    <w:rsid w:val="580E3439"/>
    <w:rsid w:val="581962BC"/>
    <w:rsid w:val="58244B39"/>
    <w:rsid w:val="583A637B"/>
    <w:rsid w:val="584274DB"/>
    <w:rsid w:val="58467796"/>
    <w:rsid w:val="58501BF8"/>
    <w:rsid w:val="585D7951"/>
    <w:rsid w:val="585F008D"/>
    <w:rsid w:val="586308C3"/>
    <w:rsid w:val="58652575"/>
    <w:rsid w:val="58774403"/>
    <w:rsid w:val="587A0A23"/>
    <w:rsid w:val="587D3C9D"/>
    <w:rsid w:val="58854BD8"/>
    <w:rsid w:val="588814BE"/>
    <w:rsid w:val="58921944"/>
    <w:rsid w:val="58945C8E"/>
    <w:rsid w:val="58A65CBC"/>
    <w:rsid w:val="58B57804"/>
    <w:rsid w:val="58C14F5E"/>
    <w:rsid w:val="58C61EBA"/>
    <w:rsid w:val="58DE25B5"/>
    <w:rsid w:val="58E71D03"/>
    <w:rsid w:val="58F60A16"/>
    <w:rsid w:val="590A0AAE"/>
    <w:rsid w:val="59127415"/>
    <w:rsid w:val="591B0458"/>
    <w:rsid w:val="591D64EB"/>
    <w:rsid w:val="59232E69"/>
    <w:rsid w:val="592D00AA"/>
    <w:rsid w:val="592D4ABB"/>
    <w:rsid w:val="595327D6"/>
    <w:rsid w:val="595474C6"/>
    <w:rsid w:val="5955323E"/>
    <w:rsid w:val="5957040B"/>
    <w:rsid w:val="596F06DA"/>
    <w:rsid w:val="59725D58"/>
    <w:rsid w:val="59751508"/>
    <w:rsid w:val="59960E21"/>
    <w:rsid w:val="59995821"/>
    <w:rsid w:val="59AE4504"/>
    <w:rsid w:val="59B60656"/>
    <w:rsid w:val="59BB7545"/>
    <w:rsid w:val="59BC4721"/>
    <w:rsid w:val="59C363FA"/>
    <w:rsid w:val="59C92367"/>
    <w:rsid w:val="59CD00F9"/>
    <w:rsid w:val="59D12E1B"/>
    <w:rsid w:val="59DB1995"/>
    <w:rsid w:val="59F026B6"/>
    <w:rsid w:val="59F9006D"/>
    <w:rsid w:val="59F91FCA"/>
    <w:rsid w:val="5A0031AA"/>
    <w:rsid w:val="5A054C64"/>
    <w:rsid w:val="5A094754"/>
    <w:rsid w:val="5A0E7E69"/>
    <w:rsid w:val="5A0F163F"/>
    <w:rsid w:val="5A161D2F"/>
    <w:rsid w:val="5A1660C5"/>
    <w:rsid w:val="5A186745"/>
    <w:rsid w:val="5A19426B"/>
    <w:rsid w:val="5A340103"/>
    <w:rsid w:val="5A353DA4"/>
    <w:rsid w:val="5A365F83"/>
    <w:rsid w:val="5A3B2434"/>
    <w:rsid w:val="5A442416"/>
    <w:rsid w:val="5A462C39"/>
    <w:rsid w:val="5A5562A2"/>
    <w:rsid w:val="5A560DC3"/>
    <w:rsid w:val="5A5906B0"/>
    <w:rsid w:val="5A785436"/>
    <w:rsid w:val="5A8913F1"/>
    <w:rsid w:val="5A8C0EE1"/>
    <w:rsid w:val="5A9A1850"/>
    <w:rsid w:val="5AA93841"/>
    <w:rsid w:val="5AB83A84"/>
    <w:rsid w:val="5AB93FAF"/>
    <w:rsid w:val="5AC12AEC"/>
    <w:rsid w:val="5AC312F6"/>
    <w:rsid w:val="5AC71224"/>
    <w:rsid w:val="5AD03A57"/>
    <w:rsid w:val="5AD05272"/>
    <w:rsid w:val="5AE10B8E"/>
    <w:rsid w:val="5AE66844"/>
    <w:rsid w:val="5B0D18E0"/>
    <w:rsid w:val="5B102CD6"/>
    <w:rsid w:val="5B1213E7"/>
    <w:rsid w:val="5B13515F"/>
    <w:rsid w:val="5B1A642C"/>
    <w:rsid w:val="5B3732C6"/>
    <w:rsid w:val="5B3D1CEA"/>
    <w:rsid w:val="5B3F7D02"/>
    <w:rsid w:val="5B530CB5"/>
    <w:rsid w:val="5B631C42"/>
    <w:rsid w:val="5B694D7F"/>
    <w:rsid w:val="5B6D1714"/>
    <w:rsid w:val="5B7078D9"/>
    <w:rsid w:val="5B7C2D04"/>
    <w:rsid w:val="5B8703DE"/>
    <w:rsid w:val="5B893B4C"/>
    <w:rsid w:val="5B8C6D35"/>
    <w:rsid w:val="5B8F6882"/>
    <w:rsid w:val="5B946A57"/>
    <w:rsid w:val="5B973842"/>
    <w:rsid w:val="5B9A5BA9"/>
    <w:rsid w:val="5BA1276A"/>
    <w:rsid w:val="5BA35C6C"/>
    <w:rsid w:val="5BB4249E"/>
    <w:rsid w:val="5BC13CBD"/>
    <w:rsid w:val="5BD7276E"/>
    <w:rsid w:val="5BDC2957"/>
    <w:rsid w:val="5BE04956"/>
    <w:rsid w:val="5BE05D9A"/>
    <w:rsid w:val="5BE525F9"/>
    <w:rsid w:val="5BE72873"/>
    <w:rsid w:val="5BE97ACC"/>
    <w:rsid w:val="5BED5B5F"/>
    <w:rsid w:val="5BF154A0"/>
    <w:rsid w:val="5BF45B80"/>
    <w:rsid w:val="5BFB631F"/>
    <w:rsid w:val="5BFB7474"/>
    <w:rsid w:val="5C0227D9"/>
    <w:rsid w:val="5C0F5926"/>
    <w:rsid w:val="5C207B33"/>
    <w:rsid w:val="5C393F59"/>
    <w:rsid w:val="5C48794B"/>
    <w:rsid w:val="5C4C4DC9"/>
    <w:rsid w:val="5C5A1297"/>
    <w:rsid w:val="5C732359"/>
    <w:rsid w:val="5C741C2D"/>
    <w:rsid w:val="5C7B55BA"/>
    <w:rsid w:val="5C8F6A67"/>
    <w:rsid w:val="5C910A31"/>
    <w:rsid w:val="5CA679ED"/>
    <w:rsid w:val="5CB3172B"/>
    <w:rsid w:val="5CB57C61"/>
    <w:rsid w:val="5CC158E3"/>
    <w:rsid w:val="5CCB7A9F"/>
    <w:rsid w:val="5CD16983"/>
    <w:rsid w:val="5CE60205"/>
    <w:rsid w:val="5CE645BB"/>
    <w:rsid w:val="5CEB0AB5"/>
    <w:rsid w:val="5CEE4816"/>
    <w:rsid w:val="5CF11D0D"/>
    <w:rsid w:val="5CFA0384"/>
    <w:rsid w:val="5CFC2DEF"/>
    <w:rsid w:val="5D066D29"/>
    <w:rsid w:val="5D084C6E"/>
    <w:rsid w:val="5D0D559B"/>
    <w:rsid w:val="5D107BA8"/>
    <w:rsid w:val="5D194F97"/>
    <w:rsid w:val="5D2C3A4D"/>
    <w:rsid w:val="5D2D075A"/>
    <w:rsid w:val="5D391238"/>
    <w:rsid w:val="5D406515"/>
    <w:rsid w:val="5D5341E5"/>
    <w:rsid w:val="5D610403"/>
    <w:rsid w:val="5D647EF4"/>
    <w:rsid w:val="5D676775"/>
    <w:rsid w:val="5D6D6C9A"/>
    <w:rsid w:val="5D766EB3"/>
    <w:rsid w:val="5D770341"/>
    <w:rsid w:val="5D7D490C"/>
    <w:rsid w:val="5D7D7F4A"/>
    <w:rsid w:val="5D877A62"/>
    <w:rsid w:val="5D916C44"/>
    <w:rsid w:val="5D9A2CAA"/>
    <w:rsid w:val="5D9B1A1F"/>
    <w:rsid w:val="5DA142AF"/>
    <w:rsid w:val="5DA56542"/>
    <w:rsid w:val="5DB62A63"/>
    <w:rsid w:val="5DC25D91"/>
    <w:rsid w:val="5DC56BE4"/>
    <w:rsid w:val="5DC80765"/>
    <w:rsid w:val="5DD136AD"/>
    <w:rsid w:val="5DD30137"/>
    <w:rsid w:val="5DD40BD5"/>
    <w:rsid w:val="5DE057CC"/>
    <w:rsid w:val="5E041A17"/>
    <w:rsid w:val="5E0441E9"/>
    <w:rsid w:val="5E0C249B"/>
    <w:rsid w:val="5E177E76"/>
    <w:rsid w:val="5E1A05D8"/>
    <w:rsid w:val="5E3F7232"/>
    <w:rsid w:val="5E435D5B"/>
    <w:rsid w:val="5E6070D1"/>
    <w:rsid w:val="5E703FF2"/>
    <w:rsid w:val="5E721388"/>
    <w:rsid w:val="5E7C2FF0"/>
    <w:rsid w:val="5E7E0C7E"/>
    <w:rsid w:val="5E815959"/>
    <w:rsid w:val="5E816AF3"/>
    <w:rsid w:val="5E842503"/>
    <w:rsid w:val="5E9842F9"/>
    <w:rsid w:val="5E9A68B7"/>
    <w:rsid w:val="5EA10192"/>
    <w:rsid w:val="5EA467FA"/>
    <w:rsid w:val="5EA66A16"/>
    <w:rsid w:val="5EAB7914"/>
    <w:rsid w:val="5EB418FF"/>
    <w:rsid w:val="5EB923BE"/>
    <w:rsid w:val="5EC7073A"/>
    <w:rsid w:val="5EC710BD"/>
    <w:rsid w:val="5EC8585D"/>
    <w:rsid w:val="5ECF41AA"/>
    <w:rsid w:val="5ED86AC6"/>
    <w:rsid w:val="5EDE7283"/>
    <w:rsid w:val="5EE27322"/>
    <w:rsid w:val="5EE66E12"/>
    <w:rsid w:val="5EEE2EAD"/>
    <w:rsid w:val="5EF37413"/>
    <w:rsid w:val="5F077EF3"/>
    <w:rsid w:val="5F245E04"/>
    <w:rsid w:val="5F2E6819"/>
    <w:rsid w:val="5F385194"/>
    <w:rsid w:val="5F3D732A"/>
    <w:rsid w:val="5F4C273A"/>
    <w:rsid w:val="5F4C3C5C"/>
    <w:rsid w:val="5F4E2C09"/>
    <w:rsid w:val="5F4E49B7"/>
    <w:rsid w:val="5F565E98"/>
    <w:rsid w:val="5F575B5B"/>
    <w:rsid w:val="5F580107"/>
    <w:rsid w:val="5F5F6BC4"/>
    <w:rsid w:val="5F630463"/>
    <w:rsid w:val="5F675F94"/>
    <w:rsid w:val="5F693088"/>
    <w:rsid w:val="5F6F5E33"/>
    <w:rsid w:val="5F733016"/>
    <w:rsid w:val="5F7C1524"/>
    <w:rsid w:val="5F7E34EF"/>
    <w:rsid w:val="5F9C0C1E"/>
    <w:rsid w:val="5FA859DA"/>
    <w:rsid w:val="5FAD6E4F"/>
    <w:rsid w:val="5FC96E8F"/>
    <w:rsid w:val="5FD27396"/>
    <w:rsid w:val="5FE01AB3"/>
    <w:rsid w:val="5FE30EB5"/>
    <w:rsid w:val="5FE97191"/>
    <w:rsid w:val="600B0B15"/>
    <w:rsid w:val="600B1FAB"/>
    <w:rsid w:val="600F4D5A"/>
    <w:rsid w:val="60273261"/>
    <w:rsid w:val="602C7800"/>
    <w:rsid w:val="602E562A"/>
    <w:rsid w:val="60373B58"/>
    <w:rsid w:val="603B318E"/>
    <w:rsid w:val="603E7B24"/>
    <w:rsid w:val="60414BAF"/>
    <w:rsid w:val="6042451C"/>
    <w:rsid w:val="604E2A4E"/>
    <w:rsid w:val="605B7C63"/>
    <w:rsid w:val="60730A14"/>
    <w:rsid w:val="607D7D03"/>
    <w:rsid w:val="608F7035"/>
    <w:rsid w:val="60936AC1"/>
    <w:rsid w:val="60A86259"/>
    <w:rsid w:val="60C05093"/>
    <w:rsid w:val="60CA4511"/>
    <w:rsid w:val="60CE0B25"/>
    <w:rsid w:val="60DA0BF8"/>
    <w:rsid w:val="60DF5C52"/>
    <w:rsid w:val="60E20C4E"/>
    <w:rsid w:val="60E674BB"/>
    <w:rsid w:val="60E90E3C"/>
    <w:rsid w:val="60EA339A"/>
    <w:rsid w:val="60EA6962"/>
    <w:rsid w:val="60EE0200"/>
    <w:rsid w:val="60FC52C5"/>
    <w:rsid w:val="61067BA0"/>
    <w:rsid w:val="61071C8B"/>
    <w:rsid w:val="6107292F"/>
    <w:rsid w:val="611A6A94"/>
    <w:rsid w:val="612142B3"/>
    <w:rsid w:val="6141691E"/>
    <w:rsid w:val="61495ACF"/>
    <w:rsid w:val="614C34D0"/>
    <w:rsid w:val="61573349"/>
    <w:rsid w:val="615779A2"/>
    <w:rsid w:val="61783F6D"/>
    <w:rsid w:val="617F70C2"/>
    <w:rsid w:val="619A3EE4"/>
    <w:rsid w:val="619E0BB2"/>
    <w:rsid w:val="61AC101B"/>
    <w:rsid w:val="61AF3E33"/>
    <w:rsid w:val="61B348D6"/>
    <w:rsid w:val="61C86D2D"/>
    <w:rsid w:val="61C96F8D"/>
    <w:rsid w:val="61DC7CF8"/>
    <w:rsid w:val="61E67C7E"/>
    <w:rsid w:val="61EA4E6B"/>
    <w:rsid w:val="61EB7453"/>
    <w:rsid w:val="61F5628E"/>
    <w:rsid w:val="61F733B6"/>
    <w:rsid w:val="61FA37C3"/>
    <w:rsid w:val="61FC694D"/>
    <w:rsid w:val="62095CCB"/>
    <w:rsid w:val="620E10B6"/>
    <w:rsid w:val="620F3448"/>
    <w:rsid w:val="622F6661"/>
    <w:rsid w:val="624468D7"/>
    <w:rsid w:val="62490054"/>
    <w:rsid w:val="624F3CB9"/>
    <w:rsid w:val="625F02EA"/>
    <w:rsid w:val="626354BA"/>
    <w:rsid w:val="626479CD"/>
    <w:rsid w:val="627666FF"/>
    <w:rsid w:val="627B2BAB"/>
    <w:rsid w:val="627D7A8D"/>
    <w:rsid w:val="62886E37"/>
    <w:rsid w:val="62903701"/>
    <w:rsid w:val="62922228"/>
    <w:rsid w:val="62B31A2D"/>
    <w:rsid w:val="62D06888"/>
    <w:rsid w:val="62E343C1"/>
    <w:rsid w:val="62E35CFD"/>
    <w:rsid w:val="62E70AC7"/>
    <w:rsid w:val="62EC2B6C"/>
    <w:rsid w:val="62F75930"/>
    <w:rsid w:val="62FF376F"/>
    <w:rsid w:val="630A1805"/>
    <w:rsid w:val="630A191C"/>
    <w:rsid w:val="63176C15"/>
    <w:rsid w:val="63190B09"/>
    <w:rsid w:val="6324615B"/>
    <w:rsid w:val="63293771"/>
    <w:rsid w:val="632A1297"/>
    <w:rsid w:val="6330352D"/>
    <w:rsid w:val="633839B4"/>
    <w:rsid w:val="634E6952"/>
    <w:rsid w:val="63512CC8"/>
    <w:rsid w:val="6356174C"/>
    <w:rsid w:val="63584057"/>
    <w:rsid w:val="636944A9"/>
    <w:rsid w:val="636A07D6"/>
    <w:rsid w:val="636E2E0F"/>
    <w:rsid w:val="63855C5D"/>
    <w:rsid w:val="6387539D"/>
    <w:rsid w:val="638D246C"/>
    <w:rsid w:val="638F4967"/>
    <w:rsid w:val="639D16ED"/>
    <w:rsid w:val="63A640FC"/>
    <w:rsid w:val="63A76512"/>
    <w:rsid w:val="63AD21EC"/>
    <w:rsid w:val="63CC3AEF"/>
    <w:rsid w:val="63DB7BA6"/>
    <w:rsid w:val="63E1229E"/>
    <w:rsid w:val="63E61662"/>
    <w:rsid w:val="63ED6FCB"/>
    <w:rsid w:val="63F35B2D"/>
    <w:rsid w:val="64063F99"/>
    <w:rsid w:val="641172C2"/>
    <w:rsid w:val="642D1ED1"/>
    <w:rsid w:val="64410F8F"/>
    <w:rsid w:val="64505FAF"/>
    <w:rsid w:val="645878FB"/>
    <w:rsid w:val="645A392E"/>
    <w:rsid w:val="645E744B"/>
    <w:rsid w:val="64607667"/>
    <w:rsid w:val="64654C7D"/>
    <w:rsid w:val="647E2D7F"/>
    <w:rsid w:val="648C75B2"/>
    <w:rsid w:val="649564DE"/>
    <w:rsid w:val="64970BAF"/>
    <w:rsid w:val="64A26B86"/>
    <w:rsid w:val="64A401AE"/>
    <w:rsid w:val="64AE4039"/>
    <w:rsid w:val="64BF68B6"/>
    <w:rsid w:val="64C14E72"/>
    <w:rsid w:val="64C6417A"/>
    <w:rsid w:val="64C71494"/>
    <w:rsid w:val="64D70FAB"/>
    <w:rsid w:val="64DA7BAA"/>
    <w:rsid w:val="64E21E2A"/>
    <w:rsid w:val="64E262CE"/>
    <w:rsid w:val="64E564DC"/>
    <w:rsid w:val="64E738E4"/>
    <w:rsid w:val="64ED569E"/>
    <w:rsid w:val="64F93617"/>
    <w:rsid w:val="650B5933"/>
    <w:rsid w:val="651422C4"/>
    <w:rsid w:val="651445A8"/>
    <w:rsid w:val="65177F19"/>
    <w:rsid w:val="651D2E62"/>
    <w:rsid w:val="65256F0F"/>
    <w:rsid w:val="65370404"/>
    <w:rsid w:val="65471FB7"/>
    <w:rsid w:val="65515201"/>
    <w:rsid w:val="65613696"/>
    <w:rsid w:val="656A1E1F"/>
    <w:rsid w:val="65717A8A"/>
    <w:rsid w:val="6573701A"/>
    <w:rsid w:val="657D5FF6"/>
    <w:rsid w:val="657E1873"/>
    <w:rsid w:val="65A25A5D"/>
    <w:rsid w:val="65A34408"/>
    <w:rsid w:val="65A85621"/>
    <w:rsid w:val="65AC0631"/>
    <w:rsid w:val="65AD0B30"/>
    <w:rsid w:val="65B00845"/>
    <w:rsid w:val="65B82C67"/>
    <w:rsid w:val="65D17C05"/>
    <w:rsid w:val="65DB44A3"/>
    <w:rsid w:val="65DD0843"/>
    <w:rsid w:val="65DF69E5"/>
    <w:rsid w:val="65E816C2"/>
    <w:rsid w:val="65EB3EEF"/>
    <w:rsid w:val="65ED5E04"/>
    <w:rsid w:val="65EE3539"/>
    <w:rsid w:val="65EE3AB8"/>
    <w:rsid w:val="65F30345"/>
    <w:rsid w:val="65F8742B"/>
    <w:rsid w:val="65FC2CD6"/>
    <w:rsid w:val="660E3456"/>
    <w:rsid w:val="661D3DB4"/>
    <w:rsid w:val="661E11A1"/>
    <w:rsid w:val="6628669C"/>
    <w:rsid w:val="663366B5"/>
    <w:rsid w:val="663B597C"/>
    <w:rsid w:val="66430FEE"/>
    <w:rsid w:val="664655A4"/>
    <w:rsid w:val="6647195E"/>
    <w:rsid w:val="66520AAB"/>
    <w:rsid w:val="665C4B13"/>
    <w:rsid w:val="66723134"/>
    <w:rsid w:val="667445FD"/>
    <w:rsid w:val="66844E6C"/>
    <w:rsid w:val="668A5665"/>
    <w:rsid w:val="668D07C7"/>
    <w:rsid w:val="6699142C"/>
    <w:rsid w:val="66996368"/>
    <w:rsid w:val="66A25EA9"/>
    <w:rsid w:val="66A46EDA"/>
    <w:rsid w:val="66AB2A9B"/>
    <w:rsid w:val="66AC6DE4"/>
    <w:rsid w:val="66AD6467"/>
    <w:rsid w:val="66B30BBD"/>
    <w:rsid w:val="66B522DB"/>
    <w:rsid w:val="66BE0674"/>
    <w:rsid w:val="66C043ED"/>
    <w:rsid w:val="66C11C64"/>
    <w:rsid w:val="66C20414"/>
    <w:rsid w:val="66C96667"/>
    <w:rsid w:val="66CF5672"/>
    <w:rsid w:val="66D2734F"/>
    <w:rsid w:val="66E778EF"/>
    <w:rsid w:val="67142FE1"/>
    <w:rsid w:val="6720156D"/>
    <w:rsid w:val="672151E6"/>
    <w:rsid w:val="672436BE"/>
    <w:rsid w:val="672F66DE"/>
    <w:rsid w:val="67317098"/>
    <w:rsid w:val="67547FEB"/>
    <w:rsid w:val="675A3F69"/>
    <w:rsid w:val="67694FB1"/>
    <w:rsid w:val="676A25AA"/>
    <w:rsid w:val="676D5110"/>
    <w:rsid w:val="676F6C05"/>
    <w:rsid w:val="67756BD5"/>
    <w:rsid w:val="67761DF4"/>
    <w:rsid w:val="6791561E"/>
    <w:rsid w:val="679413D5"/>
    <w:rsid w:val="679A450C"/>
    <w:rsid w:val="67A1680A"/>
    <w:rsid w:val="67BA52E0"/>
    <w:rsid w:val="67C05709"/>
    <w:rsid w:val="67C179C1"/>
    <w:rsid w:val="67E07AA8"/>
    <w:rsid w:val="67EB6DF2"/>
    <w:rsid w:val="67EB7247"/>
    <w:rsid w:val="67F45F74"/>
    <w:rsid w:val="68005936"/>
    <w:rsid w:val="68046A40"/>
    <w:rsid w:val="680B78E9"/>
    <w:rsid w:val="68104F00"/>
    <w:rsid w:val="682C160E"/>
    <w:rsid w:val="682F35DF"/>
    <w:rsid w:val="68313E5E"/>
    <w:rsid w:val="683664BF"/>
    <w:rsid w:val="68393D15"/>
    <w:rsid w:val="68563069"/>
    <w:rsid w:val="685968A7"/>
    <w:rsid w:val="685B09C1"/>
    <w:rsid w:val="685E5C6B"/>
    <w:rsid w:val="6861430E"/>
    <w:rsid w:val="686B6B0D"/>
    <w:rsid w:val="6871343E"/>
    <w:rsid w:val="687E41D0"/>
    <w:rsid w:val="68815DFE"/>
    <w:rsid w:val="68844843"/>
    <w:rsid w:val="68905ED2"/>
    <w:rsid w:val="68982D63"/>
    <w:rsid w:val="689E2619"/>
    <w:rsid w:val="68AB7F83"/>
    <w:rsid w:val="68B27393"/>
    <w:rsid w:val="68C96775"/>
    <w:rsid w:val="68CD2B03"/>
    <w:rsid w:val="68CD595B"/>
    <w:rsid w:val="68D3041F"/>
    <w:rsid w:val="68D66149"/>
    <w:rsid w:val="68DB4F4F"/>
    <w:rsid w:val="68DC45D5"/>
    <w:rsid w:val="68E222F7"/>
    <w:rsid w:val="68E2305E"/>
    <w:rsid w:val="68E36480"/>
    <w:rsid w:val="68E87C2B"/>
    <w:rsid w:val="68F341E5"/>
    <w:rsid w:val="68FA6384"/>
    <w:rsid w:val="68FC6CDB"/>
    <w:rsid w:val="690375BA"/>
    <w:rsid w:val="690D6338"/>
    <w:rsid w:val="69124CA8"/>
    <w:rsid w:val="69136B26"/>
    <w:rsid w:val="691F6957"/>
    <w:rsid w:val="692E7D33"/>
    <w:rsid w:val="69382960"/>
    <w:rsid w:val="693A1BAB"/>
    <w:rsid w:val="69470DF5"/>
    <w:rsid w:val="694A0FBD"/>
    <w:rsid w:val="6958090C"/>
    <w:rsid w:val="696848C8"/>
    <w:rsid w:val="69924C40"/>
    <w:rsid w:val="69945789"/>
    <w:rsid w:val="699658D9"/>
    <w:rsid w:val="699861D4"/>
    <w:rsid w:val="69995A2A"/>
    <w:rsid w:val="69A11E3B"/>
    <w:rsid w:val="69A44EBB"/>
    <w:rsid w:val="69A47FF6"/>
    <w:rsid w:val="69AA610E"/>
    <w:rsid w:val="69BE3CF2"/>
    <w:rsid w:val="69C67F6C"/>
    <w:rsid w:val="69DE3B6E"/>
    <w:rsid w:val="69F82C15"/>
    <w:rsid w:val="69FA13BE"/>
    <w:rsid w:val="69FA54B8"/>
    <w:rsid w:val="6A0B6548"/>
    <w:rsid w:val="6A0E5E3D"/>
    <w:rsid w:val="6A186C33"/>
    <w:rsid w:val="6A227DA9"/>
    <w:rsid w:val="6A26455A"/>
    <w:rsid w:val="6A276531"/>
    <w:rsid w:val="6A2D61E7"/>
    <w:rsid w:val="6A304836"/>
    <w:rsid w:val="6A3B7F81"/>
    <w:rsid w:val="6A3F387A"/>
    <w:rsid w:val="6A420C99"/>
    <w:rsid w:val="6A4632E5"/>
    <w:rsid w:val="6A59499A"/>
    <w:rsid w:val="6A5B572F"/>
    <w:rsid w:val="6A60067E"/>
    <w:rsid w:val="6A736855"/>
    <w:rsid w:val="6A7C1D67"/>
    <w:rsid w:val="6A7F011B"/>
    <w:rsid w:val="6A8B2F63"/>
    <w:rsid w:val="6A8E3167"/>
    <w:rsid w:val="6A8F3EF3"/>
    <w:rsid w:val="6A8F46CB"/>
    <w:rsid w:val="6A963730"/>
    <w:rsid w:val="6AA03466"/>
    <w:rsid w:val="6AA54025"/>
    <w:rsid w:val="6AA77DAF"/>
    <w:rsid w:val="6AAB0F10"/>
    <w:rsid w:val="6AB73D58"/>
    <w:rsid w:val="6AB83811"/>
    <w:rsid w:val="6ABC68AB"/>
    <w:rsid w:val="6AC20A0F"/>
    <w:rsid w:val="6AC344AB"/>
    <w:rsid w:val="6AC63F3A"/>
    <w:rsid w:val="6AC83870"/>
    <w:rsid w:val="6AD478C1"/>
    <w:rsid w:val="6AD761A9"/>
    <w:rsid w:val="6AD77F1D"/>
    <w:rsid w:val="6AF225FC"/>
    <w:rsid w:val="6B00680D"/>
    <w:rsid w:val="6B0845B4"/>
    <w:rsid w:val="6B1B679B"/>
    <w:rsid w:val="6B1C1E0E"/>
    <w:rsid w:val="6B33127D"/>
    <w:rsid w:val="6B361121"/>
    <w:rsid w:val="6B4870FC"/>
    <w:rsid w:val="6B4D5B5E"/>
    <w:rsid w:val="6B4E4820"/>
    <w:rsid w:val="6B4E646B"/>
    <w:rsid w:val="6B506A88"/>
    <w:rsid w:val="6B65346B"/>
    <w:rsid w:val="6B7007C2"/>
    <w:rsid w:val="6B737C7F"/>
    <w:rsid w:val="6B792A01"/>
    <w:rsid w:val="6B8410DC"/>
    <w:rsid w:val="6B916574"/>
    <w:rsid w:val="6B9F1B88"/>
    <w:rsid w:val="6B9F2A7B"/>
    <w:rsid w:val="6B9F4190"/>
    <w:rsid w:val="6B9F6CC6"/>
    <w:rsid w:val="6BAA40E7"/>
    <w:rsid w:val="6BB42604"/>
    <w:rsid w:val="6BCE1D97"/>
    <w:rsid w:val="6BDE2101"/>
    <w:rsid w:val="6BEE200C"/>
    <w:rsid w:val="6BF9381F"/>
    <w:rsid w:val="6BFE727A"/>
    <w:rsid w:val="6C047425"/>
    <w:rsid w:val="6C0A4845"/>
    <w:rsid w:val="6C1573B9"/>
    <w:rsid w:val="6C2157F2"/>
    <w:rsid w:val="6C221FEF"/>
    <w:rsid w:val="6C222C31"/>
    <w:rsid w:val="6C251B47"/>
    <w:rsid w:val="6C2C0C4D"/>
    <w:rsid w:val="6C332082"/>
    <w:rsid w:val="6C353187"/>
    <w:rsid w:val="6C38129D"/>
    <w:rsid w:val="6C3A69EF"/>
    <w:rsid w:val="6C423AF6"/>
    <w:rsid w:val="6C427E17"/>
    <w:rsid w:val="6C5252DA"/>
    <w:rsid w:val="6C543B26"/>
    <w:rsid w:val="6C6208A7"/>
    <w:rsid w:val="6C89623C"/>
    <w:rsid w:val="6C8C50B9"/>
    <w:rsid w:val="6CA15772"/>
    <w:rsid w:val="6CBA7B30"/>
    <w:rsid w:val="6CBE5377"/>
    <w:rsid w:val="6CC37791"/>
    <w:rsid w:val="6CC852DC"/>
    <w:rsid w:val="6CCA7CB6"/>
    <w:rsid w:val="6CD879FF"/>
    <w:rsid w:val="6CE21944"/>
    <w:rsid w:val="6CE50353"/>
    <w:rsid w:val="6CEE3517"/>
    <w:rsid w:val="6CF070AE"/>
    <w:rsid w:val="6CF22A1D"/>
    <w:rsid w:val="6CF606C3"/>
    <w:rsid w:val="6CFB6801"/>
    <w:rsid w:val="6D035033"/>
    <w:rsid w:val="6D0535E6"/>
    <w:rsid w:val="6D0A17BE"/>
    <w:rsid w:val="6D196605"/>
    <w:rsid w:val="6D1A4595"/>
    <w:rsid w:val="6D231231"/>
    <w:rsid w:val="6D2F5E28"/>
    <w:rsid w:val="6D390A94"/>
    <w:rsid w:val="6D55140F"/>
    <w:rsid w:val="6D57626C"/>
    <w:rsid w:val="6D640671"/>
    <w:rsid w:val="6D710A9C"/>
    <w:rsid w:val="6D785E76"/>
    <w:rsid w:val="6D843291"/>
    <w:rsid w:val="6D8B13F2"/>
    <w:rsid w:val="6DA936E2"/>
    <w:rsid w:val="6DA95315"/>
    <w:rsid w:val="6DB82115"/>
    <w:rsid w:val="6DB97DE8"/>
    <w:rsid w:val="6DC24EEE"/>
    <w:rsid w:val="6DC5678C"/>
    <w:rsid w:val="6DCC163B"/>
    <w:rsid w:val="6DCE5641"/>
    <w:rsid w:val="6DD04326"/>
    <w:rsid w:val="6DD22085"/>
    <w:rsid w:val="6DD25184"/>
    <w:rsid w:val="6DDE1239"/>
    <w:rsid w:val="6DDE33AA"/>
    <w:rsid w:val="6DE61EB9"/>
    <w:rsid w:val="6DEA355E"/>
    <w:rsid w:val="6DFB38B8"/>
    <w:rsid w:val="6DFF76FC"/>
    <w:rsid w:val="6E072901"/>
    <w:rsid w:val="6E1119D2"/>
    <w:rsid w:val="6E1D0376"/>
    <w:rsid w:val="6E2C2368"/>
    <w:rsid w:val="6E3B2B97"/>
    <w:rsid w:val="6E3C5C61"/>
    <w:rsid w:val="6E4678CD"/>
    <w:rsid w:val="6E506342"/>
    <w:rsid w:val="6E5518BE"/>
    <w:rsid w:val="6E55366C"/>
    <w:rsid w:val="6E557B10"/>
    <w:rsid w:val="6E572AFC"/>
    <w:rsid w:val="6E594353"/>
    <w:rsid w:val="6E5A6DD8"/>
    <w:rsid w:val="6E5D63B4"/>
    <w:rsid w:val="6E5F098F"/>
    <w:rsid w:val="6E647D53"/>
    <w:rsid w:val="6E7B3BBF"/>
    <w:rsid w:val="6E9D24D1"/>
    <w:rsid w:val="6E9F6FDD"/>
    <w:rsid w:val="6EBC36EB"/>
    <w:rsid w:val="6EBC43EF"/>
    <w:rsid w:val="6EC151A6"/>
    <w:rsid w:val="6EC2110C"/>
    <w:rsid w:val="6ED8429D"/>
    <w:rsid w:val="6EE42C42"/>
    <w:rsid w:val="6EF84B64"/>
    <w:rsid w:val="6EF94940"/>
    <w:rsid w:val="6F00290E"/>
    <w:rsid w:val="6F082DD5"/>
    <w:rsid w:val="6F1E43A6"/>
    <w:rsid w:val="6F215C44"/>
    <w:rsid w:val="6F237E7B"/>
    <w:rsid w:val="6F2B2745"/>
    <w:rsid w:val="6F364E26"/>
    <w:rsid w:val="6F3A1E78"/>
    <w:rsid w:val="6F413E84"/>
    <w:rsid w:val="6F564D30"/>
    <w:rsid w:val="6F583C0D"/>
    <w:rsid w:val="6F616041"/>
    <w:rsid w:val="6F804781"/>
    <w:rsid w:val="6F90765F"/>
    <w:rsid w:val="6F960172"/>
    <w:rsid w:val="6F9632A5"/>
    <w:rsid w:val="6F9C2643"/>
    <w:rsid w:val="6F9D176F"/>
    <w:rsid w:val="6FA56875"/>
    <w:rsid w:val="6FAE2474"/>
    <w:rsid w:val="6FAE537B"/>
    <w:rsid w:val="6FE445A1"/>
    <w:rsid w:val="6FEC33A0"/>
    <w:rsid w:val="6FFD045F"/>
    <w:rsid w:val="70141305"/>
    <w:rsid w:val="70212DF2"/>
    <w:rsid w:val="70240D7F"/>
    <w:rsid w:val="702C5FAE"/>
    <w:rsid w:val="70323C46"/>
    <w:rsid w:val="703B4AE4"/>
    <w:rsid w:val="703F45D4"/>
    <w:rsid w:val="70422316"/>
    <w:rsid w:val="70486972"/>
    <w:rsid w:val="704C4F43"/>
    <w:rsid w:val="704E4817"/>
    <w:rsid w:val="70585696"/>
    <w:rsid w:val="7073427E"/>
    <w:rsid w:val="70761FC0"/>
    <w:rsid w:val="7077783B"/>
    <w:rsid w:val="708244C1"/>
    <w:rsid w:val="708C46A0"/>
    <w:rsid w:val="708C533F"/>
    <w:rsid w:val="70932B72"/>
    <w:rsid w:val="70957BAD"/>
    <w:rsid w:val="70A13ED8"/>
    <w:rsid w:val="70A22DB5"/>
    <w:rsid w:val="70A2421E"/>
    <w:rsid w:val="70A628A5"/>
    <w:rsid w:val="70AD1619"/>
    <w:rsid w:val="70B94EC5"/>
    <w:rsid w:val="70C525FF"/>
    <w:rsid w:val="70C86AB0"/>
    <w:rsid w:val="70CB4BD6"/>
    <w:rsid w:val="70CB5E68"/>
    <w:rsid w:val="70E560D1"/>
    <w:rsid w:val="70EA4056"/>
    <w:rsid w:val="70FA61C2"/>
    <w:rsid w:val="70FB0333"/>
    <w:rsid w:val="71017ADB"/>
    <w:rsid w:val="71107D1F"/>
    <w:rsid w:val="71144A65"/>
    <w:rsid w:val="712452BC"/>
    <w:rsid w:val="712B6906"/>
    <w:rsid w:val="71300A71"/>
    <w:rsid w:val="7142638B"/>
    <w:rsid w:val="7143131E"/>
    <w:rsid w:val="714D4CD8"/>
    <w:rsid w:val="715212C9"/>
    <w:rsid w:val="715577EE"/>
    <w:rsid w:val="715F11B3"/>
    <w:rsid w:val="71654675"/>
    <w:rsid w:val="716562BC"/>
    <w:rsid w:val="71667B07"/>
    <w:rsid w:val="716C42FA"/>
    <w:rsid w:val="717741DF"/>
    <w:rsid w:val="71793849"/>
    <w:rsid w:val="718307B6"/>
    <w:rsid w:val="71844E20"/>
    <w:rsid w:val="71863C17"/>
    <w:rsid w:val="718A7AD1"/>
    <w:rsid w:val="71BA7C8A"/>
    <w:rsid w:val="71C17A39"/>
    <w:rsid w:val="71C64881"/>
    <w:rsid w:val="71C726BF"/>
    <w:rsid w:val="71CD6B38"/>
    <w:rsid w:val="71D21478"/>
    <w:rsid w:val="71D96870"/>
    <w:rsid w:val="71EE328A"/>
    <w:rsid w:val="71F2319C"/>
    <w:rsid w:val="720467C3"/>
    <w:rsid w:val="72250CDE"/>
    <w:rsid w:val="722E583D"/>
    <w:rsid w:val="7234683B"/>
    <w:rsid w:val="72365D0D"/>
    <w:rsid w:val="72442376"/>
    <w:rsid w:val="72466F22"/>
    <w:rsid w:val="725105EF"/>
    <w:rsid w:val="72537CFB"/>
    <w:rsid w:val="726447C6"/>
    <w:rsid w:val="72683F2C"/>
    <w:rsid w:val="72693E41"/>
    <w:rsid w:val="72734A09"/>
    <w:rsid w:val="728054B0"/>
    <w:rsid w:val="728544C1"/>
    <w:rsid w:val="728E2F2C"/>
    <w:rsid w:val="72941E30"/>
    <w:rsid w:val="72945A5B"/>
    <w:rsid w:val="72A337C3"/>
    <w:rsid w:val="72A72905"/>
    <w:rsid w:val="72BA6194"/>
    <w:rsid w:val="72BC3750"/>
    <w:rsid w:val="72C03375"/>
    <w:rsid w:val="72C15774"/>
    <w:rsid w:val="72EB27F1"/>
    <w:rsid w:val="72ED20ED"/>
    <w:rsid w:val="72FA6CA3"/>
    <w:rsid w:val="730E64E0"/>
    <w:rsid w:val="73135667"/>
    <w:rsid w:val="731D00AA"/>
    <w:rsid w:val="73327678"/>
    <w:rsid w:val="733278A1"/>
    <w:rsid w:val="73342C4F"/>
    <w:rsid w:val="73366BAF"/>
    <w:rsid w:val="73471E10"/>
    <w:rsid w:val="734F0FD2"/>
    <w:rsid w:val="73521259"/>
    <w:rsid w:val="73571C35"/>
    <w:rsid w:val="736507F6"/>
    <w:rsid w:val="73685C1A"/>
    <w:rsid w:val="736C44D8"/>
    <w:rsid w:val="736F1DD4"/>
    <w:rsid w:val="737547B1"/>
    <w:rsid w:val="737A6AC3"/>
    <w:rsid w:val="73837167"/>
    <w:rsid w:val="73842069"/>
    <w:rsid w:val="739058FC"/>
    <w:rsid w:val="7390694A"/>
    <w:rsid w:val="73927111"/>
    <w:rsid w:val="73A125E0"/>
    <w:rsid w:val="73B460B1"/>
    <w:rsid w:val="73B928EF"/>
    <w:rsid w:val="73BB48A0"/>
    <w:rsid w:val="73BD7216"/>
    <w:rsid w:val="73D65A26"/>
    <w:rsid w:val="73D73D11"/>
    <w:rsid w:val="73DE4104"/>
    <w:rsid w:val="73E07E7C"/>
    <w:rsid w:val="73E3618B"/>
    <w:rsid w:val="73E3796C"/>
    <w:rsid w:val="73EC5985"/>
    <w:rsid w:val="73EF0C13"/>
    <w:rsid w:val="73F35BA7"/>
    <w:rsid w:val="73F37DE2"/>
    <w:rsid w:val="73FC1B87"/>
    <w:rsid w:val="73FF794F"/>
    <w:rsid w:val="74092AC9"/>
    <w:rsid w:val="740D2AF4"/>
    <w:rsid w:val="74104B3B"/>
    <w:rsid w:val="741C2643"/>
    <w:rsid w:val="74255A2F"/>
    <w:rsid w:val="742A2643"/>
    <w:rsid w:val="742D0BE7"/>
    <w:rsid w:val="74324450"/>
    <w:rsid w:val="74346672"/>
    <w:rsid w:val="743B329F"/>
    <w:rsid w:val="743E1047"/>
    <w:rsid w:val="7440091B"/>
    <w:rsid w:val="744020F7"/>
    <w:rsid w:val="74411746"/>
    <w:rsid w:val="7443780B"/>
    <w:rsid w:val="744C7707"/>
    <w:rsid w:val="744E128A"/>
    <w:rsid w:val="7470185B"/>
    <w:rsid w:val="7474677A"/>
    <w:rsid w:val="747C5E66"/>
    <w:rsid w:val="747C749D"/>
    <w:rsid w:val="747E1443"/>
    <w:rsid w:val="747F0133"/>
    <w:rsid w:val="74812866"/>
    <w:rsid w:val="748265B4"/>
    <w:rsid w:val="748A428C"/>
    <w:rsid w:val="749C0ABE"/>
    <w:rsid w:val="74A2123F"/>
    <w:rsid w:val="74B135C7"/>
    <w:rsid w:val="74C13807"/>
    <w:rsid w:val="74C8000B"/>
    <w:rsid w:val="74CE4179"/>
    <w:rsid w:val="74DA0D6F"/>
    <w:rsid w:val="74E3014B"/>
    <w:rsid w:val="74E36F89"/>
    <w:rsid w:val="74E37836"/>
    <w:rsid w:val="74EB6AD9"/>
    <w:rsid w:val="74F160B9"/>
    <w:rsid w:val="74F74754"/>
    <w:rsid w:val="7503102B"/>
    <w:rsid w:val="750935A0"/>
    <w:rsid w:val="750A4135"/>
    <w:rsid w:val="750C4CA1"/>
    <w:rsid w:val="750E27C7"/>
    <w:rsid w:val="7521074C"/>
    <w:rsid w:val="75227D4C"/>
    <w:rsid w:val="752825BA"/>
    <w:rsid w:val="752E10BB"/>
    <w:rsid w:val="753F420E"/>
    <w:rsid w:val="754D1541"/>
    <w:rsid w:val="755E73C9"/>
    <w:rsid w:val="756046E7"/>
    <w:rsid w:val="75613A2A"/>
    <w:rsid w:val="7564619A"/>
    <w:rsid w:val="756D573F"/>
    <w:rsid w:val="7577117C"/>
    <w:rsid w:val="757A60AE"/>
    <w:rsid w:val="75850368"/>
    <w:rsid w:val="75865317"/>
    <w:rsid w:val="758A6111"/>
    <w:rsid w:val="75941A7A"/>
    <w:rsid w:val="759E1951"/>
    <w:rsid w:val="75A63802"/>
    <w:rsid w:val="75A87D6D"/>
    <w:rsid w:val="75B23A9A"/>
    <w:rsid w:val="75BD6448"/>
    <w:rsid w:val="75BE4D31"/>
    <w:rsid w:val="75C37B13"/>
    <w:rsid w:val="75CC6819"/>
    <w:rsid w:val="75CD251B"/>
    <w:rsid w:val="75E0023E"/>
    <w:rsid w:val="75E93EAD"/>
    <w:rsid w:val="75FA0529"/>
    <w:rsid w:val="760735A9"/>
    <w:rsid w:val="762304F4"/>
    <w:rsid w:val="762B2441"/>
    <w:rsid w:val="76335ADA"/>
    <w:rsid w:val="76366479"/>
    <w:rsid w:val="76432B05"/>
    <w:rsid w:val="76452218"/>
    <w:rsid w:val="764741E2"/>
    <w:rsid w:val="765021A2"/>
    <w:rsid w:val="765608C9"/>
    <w:rsid w:val="765C47F8"/>
    <w:rsid w:val="7662101C"/>
    <w:rsid w:val="76636B42"/>
    <w:rsid w:val="76677802"/>
    <w:rsid w:val="766D79C1"/>
    <w:rsid w:val="766F581D"/>
    <w:rsid w:val="7671125F"/>
    <w:rsid w:val="767B3362"/>
    <w:rsid w:val="769640C9"/>
    <w:rsid w:val="769B0079"/>
    <w:rsid w:val="76AE6442"/>
    <w:rsid w:val="76C14D85"/>
    <w:rsid w:val="76CC28CC"/>
    <w:rsid w:val="76D35A76"/>
    <w:rsid w:val="76D37433"/>
    <w:rsid w:val="76DB0DCF"/>
    <w:rsid w:val="76EF7989"/>
    <w:rsid w:val="76F854DD"/>
    <w:rsid w:val="76FA52A5"/>
    <w:rsid w:val="76FD15A0"/>
    <w:rsid w:val="770317D3"/>
    <w:rsid w:val="77054B67"/>
    <w:rsid w:val="770E3412"/>
    <w:rsid w:val="77116AF9"/>
    <w:rsid w:val="77132317"/>
    <w:rsid w:val="771C68F2"/>
    <w:rsid w:val="771F6F0D"/>
    <w:rsid w:val="772174E2"/>
    <w:rsid w:val="772269FE"/>
    <w:rsid w:val="77336515"/>
    <w:rsid w:val="77351F32"/>
    <w:rsid w:val="773553C0"/>
    <w:rsid w:val="774C5829"/>
    <w:rsid w:val="77503459"/>
    <w:rsid w:val="776107C4"/>
    <w:rsid w:val="776C2C31"/>
    <w:rsid w:val="776E78D2"/>
    <w:rsid w:val="77703449"/>
    <w:rsid w:val="777453FE"/>
    <w:rsid w:val="777C535C"/>
    <w:rsid w:val="77811A5D"/>
    <w:rsid w:val="77844FC2"/>
    <w:rsid w:val="77853DFB"/>
    <w:rsid w:val="77893D5B"/>
    <w:rsid w:val="77925931"/>
    <w:rsid w:val="77AD2DDF"/>
    <w:rsid w:val="77B00E26"/>
    <w:rsid w:val="77C22D04"/>
    <w:rsid w:val="77CB2D8F"/>
    <w:rsid w:val="77E47747"/>
    <w:rsid w:val="77E575FB"/>
    <w:rsid w:val="780103C1"/>
    <w:rsid w:val="78015EFE"/>
    <w:rsid w:val="782F13D2"/>
    <w:rsid w:val="783148EF"/>
    <w:rsid w:val="78390A24"/>
    <w:rsid w:val="784508FB"/>
    <w:rsid w:val="78450BF6"/>
    <w:rsid w:val="784E7839"/>
    <w:rsid w:val="785E2C2B"/>
    <w:rsid w:val="786077DD"/>
    <w:rsid w:val="786848E4"/>
    <w:rsid w:val="78814484"/>
    <w:rsid w:val="78827754"/>
    <w:rsid w:val="788D7EA7"/>
    <w:rsid w:val="78916B3D"/>
    <w:rsid w:val="789E50DE"/>
    <w:rsid w:val="78A25106"/>
    <w:rsid w:val="78A433E5"/>
    <w:rsid w:val="78A478FE"/>
    <w:rsid w:val="78AE4F89"/>
    <w:rsid w:val="78B33BCC"/>
    <w:rsid w:val="78B46CC3"/>
    <w:rsid w:val="78C22F17"/>
    <w:rsid w:val="78D73C56"/>
    <w:rsid w:val="78E739B9"/>
    <w:rsid w:val="78F1504A"/>
    <w:rsid w:val="78F90BC9"/>
    <w:rsid w:val="79102FB2"/>
    <w:rsid w:val="7915031A"/>
    <w:rsid w:val="791655E1"/>
    <w:rsid w:val="79193576"/>
    <w:rsid w:val="791A4E4D"/>
    <w:rsid w:val="792C5912"/>
    <w:rsid w:val="793135B3"/>
    <w:rsid w:val="793B5782"/>
    <w:rsid w:val="793C529D"/>
    <w:rsid w:val="79434B54"/>
    <w:rsid w:val="794964C4"/>
    <w:rsid w:val="794B24BF"/>
    <w:rsid w:val="794D2F20"/>
    <w:rsid w:val="79594081"/>
    <w:rsid w:val="79634BF2"/>
    <w:rsid w:val="79674B9C"/>
    <w:rsid w:val="796B67BD"/>
    <w:rsid w:val="796B7568"/>
    <w:rsid w:val="7972207C"/>
    <w:rsid w:val="797C0647"/>
    <w:rsid w:val="798219D5"/>
    <w:rsid w:val="79A67472"/>
    <w:rsid w:val="79A90D10"/>
    <w:rsid w:val="79C36B04"/>
    <w:rsid w:val="79D23F5A"/>
    <w:rsid w:val="79D57D57"/>
    <w:rsid w:val="79D84F11"/>
    <w:rsid w:val="79D8517C"/>
    <w:rsid w:val="79D97847"/>
    <w:rsid w:val="79E41DF2"/>
    <w:rsid w:val="79F07F9C"/>
    <w:rsid w:val="79F84B6C"/>
    <w:rsid w:val="79FD0179"/>
    <w:rsid w:val="79FF6B82"/>
    <w:rsid w:val="7A0A5C53"/>
    <w:rsid w:val="7A122038"/>
    <w:rsid w:val="7A136725"/>
    <w:rsid w:val="7A165559"/>
    <w:rsid w:val="7A1B5349"/>
    <w:rsid w:val="7A3C12BA"/>
    <w:rsid w:val="7A403A7B"/>
    <w:rsid w:val="7A431165"/>
    <w:rsid w:val="7A4A42A1"/>
    <w:rsid w:val="7A535D9D"/>
    <w:rsid w:val="7A5414E4"/>
    <w:rsid w:val="7A5E7D4D"/>
    <w:rsid w:val="7A603255"/>
    <w:rsid w:val="7A65732D"/>
    <w:rsid w:val="7A6926C1"/>
    <w:rsid w:val="7A756E44"/>
    <w:rsid w:val="7A765F38"/>
    <w:rsid w:val="7A96381A"/>
    <w:rsid w:val="7A971251"/>
    <w:rsid w:val="7A9A1F73"/>
    <w:rsid w:val="7AA13F9F"/>
    <w:rsid w:val="7AA323B3"/>
    <w:rsid w:val="7AB70482"/>
    <w:rsid w:val="7AB94F83"/>
    <w:rsid w:val="7ABD0448"/>
    <w:rsid w:val="7ABE6A3D"/>
    <w:rsid w:val="7AD46261"/>
    <w:rsid w:val="7AD53DA0"/>
    <w:rsid w:val="7AD574E8"/>
    <w:rsid w:val="7AD80F0E"/>
    <w:rsid w:val="7AED64E2"/>
    <w:rsid w:val="7AF95D9C"/>
    <w:rsid w:val="7AFD7566"/>
    <w:rsid w:val="7B000E04"/>
    <w:rsid w:val="7B041CE3"/>
    <w:rsid w:val="7B09551A"/>
    <w:rsid w:val="7B0A2AD1"/>
    <w:rsid w:val="7B2745E3"/>
    <w:rsid w:val="7B4C74F3"/>
    <w:rsid w:val="7B5B603A"/>
    <w:rsid w:val="7B681840"/>
    <w:rsid w:val="7B6E4E04"/>
    <w:rsid w:val="7B787D2A"/>
    <w:rsid w:val="7B80492E"/>
    <w:rsid w:val="7B8559C3"/>
    <w:rsid w:val="7B933A26"/>
    <w:rsid w:val="7B9559F0"/>
    <w:rsid w:val="7B961F03"/>
    <w:rsid w:val="7B9652C4"/>
    <w:rsid w:val="7B99660F"/>
    <w:rsid w:val="7B9A6ABD"/>
    <w:rsid w:val="7BAD0242"/>
    <w:rsid w:val="7BB107B2"/>
    <w:rsid w:val="7BB146E1"/>
    <w:rsid w:val="7BD5403F"/>
    <w:rsid w:val="7BDF4EBD"/>
    <w:rsid w:val="7BE354B0"/>
    <w:rsid w:val="7BEE3352"/>
    <w:rsid w:val="7BF8201E"/>
    <w:rsid w:val="7BFA4510"/>
    <w:rsid w:val="7BFF10BB"/>
    <w:rsid w:val="7BFF465B"/>
    <w:rsid w:val="7C023C9E"/>
    <w:rsid w:val="7C176405"/>
    <w:rsid w:val="7C184416"/>
    <w:rsid w:val="7C202361"/>
    <w:rsid w:val="7C262AEC"/>
    <w:rsid w:val="7C365DE1"/>
    <w:rsid w:val="7C3D68EA"/>
    <w:rsid w:val="7C3D75BD"/>
    <w:rsid w:val="7C4208D6"/>
    <w:rsid w:val="7C450044"/>
    <w:rsid w:val="7C4B60AF"/>
    <w:rsid w:val="7C4E61BA"/>
    <w:rsid w:val="7C5238E1"/>
    <w:rsid w:val="7C5E4034"/>
    <w:rsid w:val="7C5E67FE"/>
    <w:rsid w:val="7C64158D"/>
    <w:rsid w:val="7C69174C"/>
    <w:rsid w:val="7C9C0835"/>
    <w:rsid w:val="7C9E74F7"/>
    <w:rsid w:val="7CE47F7F"/>
    <w:rsid w:val="7CE64029"/>
    <w:rsid w:val="7CED7252"/>
    <w:rsid w:val="7CF07BDA"/>
    <w:rsid w:val="7CF229CE"/>
    <w:rsid w:val="7D0270B5"/>
    <w:rsid w:val="7D075792"/>
    <w:rsid w:val="7D0A74F5"/>
    <w:rsid w:val="7D0E5E73"/>
    <w:rsid w:val="7D126BCC"/>
    <w:rsid w:val="7D150C27"/>
    <w:rsid w:val="7D2D62C7"/>
    <w:rsid w:val="7D2F0944"/>
    <w:rsid w:val="7D3B5F5F"/>
    <w:rsid w:val="7D53044E"/>
    <w:rsid w:val="7D5424EC"/>
    <w:rsid w:val="7D5D6898"/>
    <w:rsid w:val="7D6D1809"/>
    <w:rsid w:val="7D6D267F"/>
    <w:rsid w:val="7D7635FF"/>
    <w:rsid w:val="7D793A80"/>
    <w:rsid w:val="7D7D2BE0"/>
    <w:rsid w:val="7D831878"/>
    <w:rsid w:val="7D8D4E7C"/>
    <w:rsid w:val="7D906D9C"/>
    <w:rsid w:val="7D977784"/>
    <w:rsid w:val="7D993CEA"/>
    <w:rsid w:val="7D994F0A"/>
    <w:rsid w:val="7D9A7509"/>
    <w:rsid w:val="7DA57A41"/>
    <w:rsid w:val="7DAE28B8"/>
    <w:rsid w:val="7DBA7990"/>
    <w:rsid w:val="7DBB1012"/>
    <w:rsid w:val="7DBB4CDD"/>
    <w:rsid w:val="7DBF4FA6"/>
    <w:rsid w:val="7DC03487"/>
    <w:rsid w:val="7DC10D1E"/>
    <w:rsid w:val="7DD300BC"/>
    <w:rsid w:val="7DD80107"/>
    <w:rsid w:val="7DE21206"/>
    <w:rsid w:val="7DE40387"/>
    <w:rsid w:val="7DE71D92"/>
    <w:rsid w:val="7DEA7FB9"/>
    <w:rsid w:val="7DF13B08"/>
    <w:rsid w:val="7DFF407A"/>
    <w:rsid w:val="7E024E93"/>
    <w:rsid w:val="7E062BD5"/>
    <w:rsid w:val="7E0909D6"/>
    <w:rsid w:val="7E0B3A14"/>
    <w:rsid w:val="7E1318DE"/>
    <w:rsid w:val="7E132BFC"/>
    <w:rsid w:val="7E266608"/>
    <w:rsid w:val="7E2B12B1"/>
    <w:rsid w:val="7E2B43EA"/>
    <w:rsid w:val="7E3340BA"/>
    <w:rsid w:val="7E4B05E8"/>
    <w:rsid w:val="7E4E575C"/>
    <w:rsid w:val="7E501FE2"/>
    <w:rsid w:val="7E5A6A7D"/>
    <w:rsid w:val="7E6E0957"/>
    <w:rsid w:val="7E7E37BC"/>
    <w:rsid w:val="7E81225C"/>
    <w:rsid w:val="7E837870"/>
    <w:rsid w:val="7E842607"/>
    <w:rsid w:val="7E852893"/>
    <w:rsid w:val="7E8853C2"/>
    <w:rsid w:val="7E886A48"/>
    <w:rsid w:val="7E8C34AC"/>
    <w:rsid w:val="7E8D10EA"/>
    <w:rsid w:val="7E923279"/>
    <w:rsid w:val="7E9A50CB"/>
    <w:rsid w:val="7EA47B7B"/>
    <w:rsid w:val="7EA53C41"/>
    <w:rsid w:val="7EB22415"/>
    <w:rsid w:val="7EBD2986"/>
    <w:rsid w:val="7EDE76AE"/>
    <w:rsid w:val="7EFC2F3C"/>
    <w:rsid w:val="7F13331D"/>
    <w:rsid w:val="7F1C3D32"/>
    <w:rsid w:val="7F1D19B3"/>
    <w:rsid w:val="7F2D5F40"/>
    <w:rsid w:val="7F42435B"/>
    <w:rsid w:val="7F4B01E9"/>
    <w:rsid w:val="7F5160D2"/>
    <w:rsid w:val="7F5B6BD9"/>
    <w:rsid w:val="7F6000C3"/>
    <w:rsid w:val="7F671451"/>
    <w:rsid w:val="7F685C77"/>
    <w:rsid w:val="7F6D2F55"/>
    <w:rsid w:val="7F7B5063"/>
    <w:rsid w:val="7F7C0312"/>
    <w:rsid w:val="7F86126A"/>
    <w:rsid w:val="7F947D53"/>
    <w:rsid w:val="7F982EB9"/>
    <w:rsid w:val="7F9840DD"/>
    <w:rsid w:val="7FA322FF"/>
    <w:rsid w:val="7FA35D56"/>
    <w:rsid w:val="7FA42DCD"/>
    <w:rsid w:val="7FA55135"/>
    <w:rsid w:val="7FA909BF"/>
    <w:rsid w:val="7FA91A6A"/>
    <w:rsid w:val="7FAE3A3B"/>
    <w:rsid w:val="7FC757EF"/>
    <w:rsid w:val="7FCB124B"/>
    <w:rsid w:val="7FCB1B40"/>
    <w:rsid w:val="7FCD03B0"/>
    <w:rsid w:val="7FD94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7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3"/>
    <w:next w:val="1"/>
    <w:qFormat/>
    <w:uiPriority w:val="0"/>
    <w:pPr>
      <w:spacing w:before="50" w:beforeLines="50" w:after="50" w:afterLines="50" w:line="420" w:lineRule="exact"/>
      <w:ind w:firstLine="0" w:firstLineChars="0"/>
      <w:jc w:val="left"/>
      <w:outlineLvl w:val="0"/>
    </w:pPr>
    <w:rPr>
      <w:rFonts w:ascii="黑体" w:hAnsi="黑体" w:eastAsia="黑体"/>
      <w:szCs w:val="22"/>
    </w:rPr>
  </w:style>
  <w:style w:type="paragraph" w:styleId="4">
    <w:name w:val="heading 2"/>
    <w:basedOn w:val="1"/>
    <w:next w:val="1"/>
    <w:link w:val="25"/>
    <w:qFormat/>
    <w:uiPriority w:val="0"/>
    <w:pPr>
      <w:keepNext/>
      <w:keepLines/>
      <w:spacing w:line="420" w:lineRule="exact"/>
      <w:ind w:firstLine="0" w:firstLineChars="0"/>
      <w:outlineLvl w:val="1"/>
    </w:pPr>
    <w:rPr>
      <w:bCs/>
      <w:szCs w:val="32"/>
    </w:rPr>
  </w:style>
  <w:style w:type="paragraph" w:styleId="5">
    <w:name w:val="heading 3"/>
    <w:basedOn w:val="1"/>
    <w:next w:val="1"/>
    <w:unhideWhenUsed/>
    <w:qFormat/>
    <w:uiPriority w:val="0"/>
    <w:pPr>
      <w:keepNext/>
      <w:keepLines/>
      <w:spacing w:line="420" w:lineRule="exact"/>
      <w:ind w:firstLine="0" w:firstLineChars="0"/>
      <w:outlineLvl w:val="2"/>
    </w:pPr>
  </w:style>
  <w:style w:type="paragraph" w:styleId="6">
    <w:name w:val="heading 4"/>
    <w:basedOn w:val="1"/>
    <w:next w:val="1"/>
    <w:unhideWhenUsed/>
    <w:qFormat/>
    <w:uiPriority w:val="0"/>
    <w:pPr>
      <w:keepNext/>
      <w:keepLines/>
      <w:spacing w:line="240" w:lineRule="auto"/>
      <w:ind w:firstLine="0" w:firstLineChars="0"/>
      <w:outlineLvl w:val="3"/>
    </w:pPr>
    <w:rPr>
      <w:sz w:val="1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 w:type="paragraph" w:styleId="7">
    <w:name w:val="Normal Indent"/>
    <w:basedOn w:val="1"/>
    <w:qFormat/>
    <w:uiPriority w:val="0"/>
    <w:pPr>
      <w:ind w:firstLine="420"/>
    </w:pPr>
  </w:style>
  <w:style w:type="paragraph" w:styleId="8">
    <w:name w:val="Document Map"/>
    <w:basedOn w:val="1"/>
    <w:semiHidden/>
    <w:qFormat/>
    <w:uiPriority w:val="0"/>
    <w:pPr>
      <w:shd w:val="clear" w:color="auto" w:fill="000080"/>
    </w:pPr>
  </w:style>
  <w:style w:type="paragraph" w:styleId="9">
    <w:name w:val="annotation text"/>
    <w:basedOn w:val="1"/>
    <w:link w:val="26"/>
    <w:qFormat/>
    <w:uiPriority w:val="0"/>
    <w:pPr>
      <w:jc w:val="left"/>
    </w:pPr>
  </w:style>
  <w:style w:type="paragraph" w:styleId="10">
    <w:name w:val="Body Text Indent"/>
    <w:basedOn w:val="1"/>
    <w:link w:val="27"/>
    <w:qFormat/>
    <w:uiPriority w:val="0"/>
    <w:pPr>
      <w:spacing w:after="120"/>
      <w:ind w:left="420" w:leftChars="200"/>
    </w:pPr>
  </w:style>
  <w:style w:type="paragraph" w:styleId="11">
    <w:name w:val="toc 3"/>
    <w:basedOn w:val="1"/>
    <w:next w:val="1"/>
    <w:qFormat/>
    <w:uiPriority w:val="0"/>
    <w:pPr>
      <w:ind w:left="840" w:leftChars="400"/>
    </w:pPr>
  </w:style>
  <w:style w:type="paragraph" w:styleId="12">
    <w:name w:val="Balloon Text"/>
    <w:basedOn w:val="1"/>
    <w:link w:val="28"/>
    <w:qFormat/>
    <w:uiPriority w:val="0"/>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2"/>
    <w:basedOn w:val="1"/>
    <w:next w:val="1"/>
    <w:qFormat/>
    <w:uiPriority w:val="39"/>
    <w:pPr>
      <w:ind w:left="420" w:leftChars="200"/>
    </w:pPr>
  </w:style>
  <w:style w:type="paragraph" w:styleId="17">
    <w:name w:val="Normal (Web)"/>
    <w:basedOn w:val="1"/>
    <w:qFormat/>
    <w:uiPriority w:val="0"/>
    <w:rPr>
      <w:sz w:val="24"/>
    </w:rPr>
  </w:style>
  <w:style w:type="paragraph" w:styleId="18">
    <w:name w:val="Title"/>
    <w:basedOn w:val="3"/>
    <w:next w:val="1"/>
    <w:qFormat/>
    <w:uiPriority w:val="0"/>
    <w:pPr>
      <w:spacing w:before="156" w:beforeLines="50" w:after="156" w:afterLines="50"/>
      <w:jc w:val="left"/>
      <w:outlineLvl w:val="0"/>
    </w:pPr>
    <w:rPr>
      <w:rFonts w:ascii="Times New Roman" w:hAnsi="Times New Roman" w:eastAsia="黑体"/>
      <w:bCs/>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qFormat/>
    <w:uiPriority w:val="0"/>
  </w:style>
  <w:style w:type="character" w:styleId="23">
    <w:name w:val="Hyperlink"/>
    <w:unhideWhenUsed/>
    <w:qFormat/>
    <w:uiPriority w:val="99"/>
    <w:rPr>
      <w:color w:val="0563C1"/>
      <w:u w:val="single"/>
    </w:rPr>
  </w:style>
  <w:style w:type="character" w:styleId="24">
    <w:name w:val="annotation reference"/>
    <w:qFormat/>
    <w:uiPriority w:val="0"/>
    <w:rPr>
      <w:sz w:val="21"/>
      <w:szCs w:val="21"/>
    </w:rPr>
  </w:style>
  <w:style w:type="character" w:customStyle="1" w:styleId="25">
    <w:name w:val="标题 2 Char"/>
    <w:link w:val="4"/>
    <w:qFormat/>
    <w:uiPriority w:val="0"/>
    <w:rPr>
      <w:rFonts w:ascii="Times New Roman" w:hAnsi="Times New Roman" w:eastAsia="宋体"/>
      <w:bCs/>
      <w:kern w:val="2"/>
      <w:sz w:val="24"/>
      <w:szCs w:val="32"/>
    </w:rPr>
  </w:style>
  <w:style w:type="character" w:customStyle="1" w:styleId="26">
    <w:name w:val="批注文字 Char1"/>
    <w:link w:val="9"/>
    <w:qFormat/>
    <w:uiPriority w:val="0"/>
    <w:rPr>
      <w:kern w:val="2"/>
      <w:sz w:val="21"/>
      <w:szCs w:val="24"/>
    </w:rPr>
  </w:style>
  <w:style w:type="character" w:customStyle="1" w:styleId="27">
    <w:name w:val="正文文本缩进 Char1"/>
    <w:link w:val="10"/>
    <w:qFormat/>
    <w:uiPriority w:val="0"/>
    <w:rPr>
      <w:kern w:val="2"/>
      <w:sz w:val="21"/>
      <w:szCs w:val="24"/>
    </w:rPr>
  </w:style>
  <w:style w:type="character" w:customStyle="1" w:styleId="28">
    <w:name w:val="批注框文本 Char"/>
    <w:link w:val="12"/>
    <w:qFormat/>
    <w:uiPriority w:val="0"/>
    <w:rPr>
      <w:kern w:val="2"/>
      <w:sz w:val="18"/>
      <w:szCs w:val="18"/>
    </w:rPr>
  </w:style>
  <w:style w:type="character" w:customStyle="1" w:styleId="29">
    <w:name w:val="批注文字 Char"/>
    <w:qFormat/>
    <w:uiPriority w:val="0"/>
    <w:rPr>
      <w:kern w:val="2"/>
      <w:sz w:val="21"/>
      <w:szCs w:val="24"/>
    </w:rPr>
  </w:style>
  <w:style w:type="character" w:customStyle="1" w:styleId="30">
    <w:name w:val="正文文本缩进 Char"/>
    <w:qFormat/>
    <w:uiPriority w:val="0"/>
    <w:rPr>
      <w:kern w:val="2"/>
      <w:sz w:val="21"/>
      <w:szCs w:val="24"/>
    </w:rPr>
  </w:style>
  <w:style w:type="paragraph" w:customStyle="1" w:styleId="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WPSOffice手动目录 2"/>
    <w:qFormat/>
    <w:uiPriority w:val="0"/>
    <w:pPr>
      <w:ind w:left="200" w:leftChars="200"/>
    </w:pPr>
    <w:rPr>
      <w:rFonts w:ascii="Times New Roman" w:hAnsi="Times New Roman" w:eastAsia="宋体" w:cs="Times New Roman"/>
      <w:lang w:val="en-US" w:eastAsia="zh-CN" w:bidi="ar-SA"/>
    </w:rPr>
  </w:style>
  <w:style w:type="character" w:styleId="34">
    <w:name w:val="Placeholder Text"/>
    <w:basedOn w:val="21"/>
    <w:semiHidden/>
    <w:qFormat/>
    <w:uiPriority w:val="99"/>
    <w:rPr>
      <w:color w:val="808080"/>
    </w:rPr>
  </w:style>
  <w:style w:type="character" w:customStyle="1" w:styleId="35">
    <w:name w:val="页脚 Char"/>
    <w:basedOn w:val="21"/>
    <w:link w:val="13"/>
    <w:qFormat/>
    <w:uiPriority w:val="99"/>
    <w:rPr>
      <w:kern w:val="2"/>
      <w:sz w:val="18"/>
      <w:szCs w:val="18"/>
    </w:rPr>
  </w:style>
  <w:style w:type="character" w:customStyle="1" w:styleId="36">
    <w:name w:val="页眉 Char"/>
    <w:basedOn w:val="21"/>
    <w:link w:val="14"/>
    <w:qFormat/>
    <w:uiPriority w:val="99"/>
    <w:rPr>
      <w:kern w:val="2"/>
      <w:sz w:val="18"/>
      <w:szCs w:val="18"/>
    </w:rPr>
  </w:style>
  <w:style w:type="paragraph" w:customStyle="1" w:styleId="37">
    <w:name w:val="标题5"/>
    <w:basedOn w:val="1"/>
    <w:qFormat/>
    <w:uiPriority w:val="0"/>
    <w:pPr>
      <w:spacing w:line="360" w:lineRule="auto"/>
      <w:jc w:val="center"/>
    </w:pPr>
    <w:rPr>
      <w:rFonts w:hint="eastAsia" w:eastAsia="黑体" w:cs="黑体"/>
      <w:color w:val="000000" w:themeColor="text1"/>
      <w:sz w:val="21"/>
      <w14:textFill>
        <w14:solidFill>
          <w14:schemeClr w14:val="tx1"/>
        </w14:solidFill>
      </w14:textFill>
    </w:rPr>
  </w:style>
  <w:style w:type="paragraph" w:customStyle="1" w:styleId="38">
    <w:name w:val="列出段落1"/>
    <w:basedOn w:val="1"/>
    <w:qFormat/>
    <w:uiPriority w:val="34"/>
    <w:pPr>
      <w:widowControl/>
      <w:spacing w:line="240" w:lineRule="auto"/>
      <w:ind w:firstLine="420" w:firstLineChars="200"/>
    </w:pPr>
    <w:rPr>
      <w:szCs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34.wmf"/><Relationship Id="rId97" Type="http://schemas.openxmlformats.org/officeDocument/2006/relationships/oleObject" Target="embeddings/oleObject39.bin"/><Relationship Id="rId96" Type="http://schemas.openxmlformats.org/officeDocument/2006/relationships/oleObject" Target="embeddings/oleObject38.bin"/><Relationship Id="rId95" Type="http://schemas.openxmlformats.org/officeDocument/2006/relationships/image" Target="media/image33.wmf"/><Relationship Id="rId94" Type="http://schemas.openxmlformats.org/officeDocument/2006/relationships/oleObject" Target="embeddings/oleObject37.bin"/><Relationship Id="rId93" Type="http://schemas.openxmlformats.org/officeDocument/2006/relationships/image" Target="media/image32.wmf"/><Relationship Id="rId92" Type="http://schemas.openxmlformats.org/officeDocument/2006/relationships/oleObject" Target="embeddings/oleObject36.bin"/><Relationship Id="rId91" Type="http://schemas.openxmlformats.org/officeDocument/2006/relationships/image" Target="media/image31.png"/><Relationship Id="rId90" Type="http://schemas.openxmlformats.org/officeDocument/2006/relationships/oleObject" Target="embeddings/oleObject35.bin"/><Relationship Id="rId9" Type="http://schemas.openxmlformats.org/officeDocument/2006/relationships/footer" Target="footer2.xml"/><Relationship Id="rId89" Type="http://schemas.openxmlformats.org/officeDocument/2006/relationships/oleObject" Target="embeddings/oleObject34.bin"/><Relationship Id="rId88" Type="http://schemas.openxmlformats.org/officeDocument/2006/relationships/image" Target="media/image30.wmf"/><Relationship Id="rId87" Type="http://schemas.openxmlformats.org/officeDocument/2006/relationships/oleObject" Target="embeddings/oleObject33.bin"/><Relationship Id="rId86" Type="http://schemas.openxmlformats.org/officeDocument/2006/relationships/oleObject" Target="embeddings/oleObject32.bin"/><Relationship Id="rId85" Type="http://schemas.openxmlformats.org/officeDocument/2006/relationships/image" Target="media/image29.wmf"/><Relationship Id="rId84" Type="http://schemas.openxmlformats.org/officeDocument/2006/relationships/oleObject" Target="embeddings/oleObject31.bin"/><Relationship Id="rId83" Type="http://schemas.openxmlformats.org/officeDocument/2006/relationships/image" Target="media/image28.wmf"/><Relationship Id="rId82" Type="http://schemas.openxmlformats.org/officeDocument/2006/relationships/oleObject" Target="embeddings/oleObject30.bin"/><Relationship Id="rId81" Type="http://schemas.openxmlformats.org/officeDocument/2006/relationships/image" Target="media/image27.wmf"/><Relationship Id="rId80" Type="http://schemas.openxmlformats.org/officeDocument/2006/relationships/oleObject" Target="embeddings/oleObject29.bin"/><Relationship Id="rId8" Type="http://schemas.openxmlformats.org/officeDocument/2006/relationships/footer" Target="footer1.xml"/><Relationship Id="rId79" Type="http://schemas.openxmlformats.org/officeDocument/2006/relationships/image" Target="media/image26.wmf"/><Relationship Id="rId78" Type="http://schemas.openxmlformats.org/officeDocument/2006/relationships/oleObject" Target="embeddings/oleObject28.bin"/><Relationship Id="rId77" Type="http://schemas.openxmlformats.org/officeDocument/2006/relationships/oleObject" Target="embeddings/oleObject27.bin"/><Relationship Id="rId76" Type="http://schemas.openxmlformats.org/officeDocument/2006/relationships/image" Target="media/image25.wmf"/><Relationship Id="rId75" Type="http://schemas.openxmlformats.org/officeDocument/2006/relationships/oleObject" Target="embeddings/oleObject26.bin"/><Relationship Id="rId74" Type="http://schemas.openxmlformats.org/officeDocument/2006/relationships/oleObject" Target="embeddings/oleObject25.bin"/><Relationship Id="rId73" Type="http://schemas.openxmlformats.org/officeDocument/2006/relationships/image" Target="media/image24.wmf"/><Relationship Id="rId72" Type="http://schemas.openxmlformats.org/officeDocument/2006/relationships/oleObject" Target="embeddings/oleObject24.bin"/><Relationship Id="rId71" Type="http://schemas.openxmlformats.org/officeDocument/2006/relationships/oleObject" Target="embeddings/oleObject23.bin"/><Relationship Id="rId70" Type="http://schemas.openxmlformats.org/officeDocument/2006/relationships/image" Target="media/image23.wmf"/><Relationship Id="rId7" Type="http://schemas.openxmlformats.org/officeDocument/2006/relationships/header" Target="header3.xml"/><Relationship Id="rId69" Type="http://schemas.openxmlformats.org/officeDocument/2006/relationships/oleObject" Target="embeddings/oleObject22.bin"/><Relationship Id="rId68" Type="http://schemas.openxmlformats.org/officeDocument/2006/relationships/image" Target="media/image22.wmf"/><Relationship Id="rId67" Type="http://schemas.openxmlformats.org/officeDocument/2006/relationships/oleObject" Target="embeddings/oleObject21.bin"/><Relationship Id="rId66" Type="http://schemas.openxmlformats.org/officeDocument/2006/relationships/image" Target="media/image21.wmf"/><Relationship Id="rId65" Type="http://schemas.openxmlformats.org/officeDocument/2006/relationships/oleObject" Target="embeddings/oleObject20.bin"/><Relationship Id="rId64" Type="http://schemas.openxmlformats.org/officeDocument/2006/relationships/image" Target="media/image20.wmf"/><Relationship Id="rId63" Type="http://schemas.openxmlformats.org/officeDocument/2006/relationships/oleObject" Target="embeddings/oleObject19.bin"/><Relationship Id="rId62" Type="http://schemas.openxmlformats.org/officeDocument/2006/relationships/image" Target="media/image19.wmf"/><Relationship Id="rId61" Type="http://schemas.openxmlformats.org/officeDocument/2006/relationships/oleObject" Target="embeddings/oleObject18.bin"/><Relationship Id="rId60" Type="http://schemas.openxmlformats.org/officeDocument/2006/relationships/image" Target="media/image18.wmf"/><Relationship Id="rId6" Type="http://schemas.openxmlformats.org/officeDocument/2006/relationships/header" Target="header2.xml"/><Relationship Id="rId59" Type="http://schemas.openxmlformats.org/officeDocument/2006/relationships/oleObject" Target="embeddings/oleObject17.bin"/><Relationship Id="rId58" Type="http://schemas.openxmlformats.org/officeDocument/2006/relationships/oleObject" Target="embeddings/oleObject16.bin"/><Relationship Id="rId57" Type="http://schemas.openxmlformats.org/officeDocument/2006/relationships/image" Target="media/image17.wmf"/><Relationship Id="rId56" Type="http://schemas.openxmlformats.org/officeDocument/2006/relationships/oleObject" Target="embeddings/oleObject15.bin"/><Relationship Id="rId55" Type="http://schemas.openxmlformats.org/officeDocument/2006/relationships/image" Target="media/image16.wmf"/><Relationship Id="rId54" Type="http://schemas.openxmlformats.org/officeDocument/2006/relationships/oleObject" Target="embeddings/oleObject14.bin"/><Relationship Id="rId53" Type="http://schemas.openxmlformats.org/officeDocument/2006/relationships/image" Target="media/image15.wmf"/><Relationship Id="rId52" Type="http://schemas.openxmlformats.org/officeDocument/2006/relationships/oleObject" Target="embeddings/oleObject13.bin"/><Relationship Id="rId51" Type="http://schemas.openxmlformats.org/officeDocument/2006/relationships/image" Target="media/image14.wmf"/><Relationship Id="rId50" Type="http://schemas.openxmlformats.org/officeDocument/2006/relationships/oleObject" Target="embeddings/oleObject12.bin"/><Relationship Id="rId5" Type="http://schemas.openxmlformats.org/officeDocument/2006/relationships/header" Target="header1.xml"/><Relationship Id="rId49" Type="http://schemas.openxmlformats.org/officeDocument/2006/relationships/image" Target="media/image13.wmf"/><Relationship Id="rId48" Type="http://schemas.openxmlformats.org/officeDocument/2006/relationships/oleObject" Target="embeddings/oleObject11.bin"/><Relationship Id="rId47" Type="http://schemas.openxmlformats.org/officeDocument/2006/relationships/image" Target="media/image12.wmf"/><Relationship Id="rId46" Type="http://schemas.openxmlformats.org/officeDocument/2006/relationships/oleObject" Target="embeddings/oleObject10.bin"/><Relationship Id="rId45" Type="http://schemas.openxmlformats.org/officeDocument/2006/relationships/image" Target="media/image11.wmf"/><Relationship Id="rId44" Type="http://schemas.openxmlformats.org/officeDocument/2006/relationships/oleObject" Target="embeddings/oleObject9.bin"/><Relationship Id="rId43" Type="http://schemas.openxmlformats.org/officeDocument/2006/relationships/image" Target="media/image10.wmf"/><Relationship Id="rId42" Type="http://schemas.openxmlformats.org/officeDocument/2006/relationships/oleObject" Target="embeddings/oleObject8.bin"/><Relationship Id="rId41" Type="http://schemas.openxmlformats.org/officeDocument/2006/relationships/image" Target="media/image9.wmf"/><Relationship Id="rId40" Type="http://schemas.openxmlformats.org/officeDocument/2006/relationships/oleObject" Target="embeddings/oleObject7.bin"/><Relationship Id="rId4" Type="http://schemas.openxmlformats.org/officeDocument/2006/relationships/endnotes" Target="endnotes.xml"/><Relationship Id="rId39" Type="http://schemas.openxmlformats.org/officeDocument/2006/relationships/image" Target="media/image8.wmf"/><Relationship Id="rId38" Type="http://schemas.openxmlformats.org/officeDocument/2006/relationships/oleObject" Target="embeddings/oleObject6.bin"/><Relationship Id="rId37" Type="http://schemas.openxmlformats.org/officeDocument/2006/relationships/image" Target="media/image7.wmf"/><Relationship Id="rId36" Type="http://schemas.openxmlformats.org/officeDocument/2006/relationships/oleObject" Target="embeddings/oleObject5.bin"/><Relationship Id="rId35" Type="http://schemas.openxmlformats.org/officeDocument/2006/relationships/image" Target="media/image6.wmf"/><Relationship Id="rId34" Type="http://schemas.openxmlformats.org/officeDocument/2006/relationships/oleObject" Target="embeddings/oleObject4.bin"/><Relationship Id="rId33" Type="http://schemas.openxmlformats.org/officeDocument/2006/relationships/image" Target="media/image5.wmf"/><Relationship Id="rId32" Type="http://schemas.openxmlformats.org/officeDocument/2006/relationships/oleObject" Target="embeddings/oleObject3.bin"/><Relationship Id="rId31" Type="http://schemas.openxmlformats.org/officeDocument/2006/relationships/image" Target="media/image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3.wmf"/><Relationship Id="rId28" Type="http://schemas.openxmlformats.org/officeDocument/2006/relationships/oleObject" Target="embeddings/oleObject1.bin"/><Relationship Id="rId27" Type="http://schemas.openxmlformats.org/officeDocument/2006/relationships/image" Target="media/image2.jpeg"/><Relationship Id="rId26" Type="http://schemas.openxmlformats.org/officeDocument/2006/relationships/image" Target="media/image1.jpeg"/><Relationship Id="rId25" Type="http://schemas.openxmlformats.org/officeDocument/2006/relationships/theme" Target="theme/theme1.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header" Target="header7.xml"/><Relationship Id="rId21" Type="http://schemas.openxmlformats.org/officeDocument/2006/relationships/header" Target="header6.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8" Type="http://schemas.openxmlformats.org/officeDocument/2006/relationships/fontTable" Target="fontTable.xml"/><Relationship Id="rId157" Type="http://schemas.openxmlformats.org/officeDocument/2006/relationships/customXml" Target="../customXml/item2.xml"/><Relationship Id="rId156" Type="http://schemas.openxmlformats.org/officeDocument/2006/relationships/customXml" Target="../customXml/item1.xml"/><Relationship Id="rId155" Type="http://schemas.openxmlformats.org/officeDocument/2006/relationships/image" Target="media/image56.wmf"/><Relationship Id="rId154" Type="http://schemas.openxmlformats.org/officeDocument/2006/relationships/oleObject" Target="embeddings/oleObject74.bin"/><Relationship Id="rId153" Type="http://schemas.openxmlformats.org/officeDocument/2006/relationships/image" Target="media/image55.wmf"/><Relationship Id="rId152" Type="http://schemas.openxmlformats.org/officeDocument/2006/relationships/oleObject" Target="embeddings/oleObject73.bin"/><Relationship Id="rId151" Type="http://schemas.openxmlformats.org/officeDocument/2006/relationships/image" Target="media/image54.wmf"/><Relationship Id="rId150" Type="http://schemas.openxmlformats.org/officeDocument/2006/relationships/oleObject" Target="embeddings/oleObject72.bin"/><Relationship Id="rId15" Type="http://schemas.openxmlformats.org/officeDocument/2006/relationships/footer" Target="footer6.xml"/><Relationship Id="rId149" Type="http://schemas.openxmlformats.org/officeDocument/2006/relationships/image" Target="media/image53.wmf"/><Relationship Id="rId148" Type="http://schemas.openxmlformats.org/officeDocument/2006/relationships/oleObject" Target="embeddings/oleObject71.bin"/><Relationship Id="rId147" Type="http://schemas.openxmlformats.org/officeDocument/2006/relationships/image" Target="media/image52.wmf"/><Relationship Id="rId146" Type="http://schemas.openxmlformats.org/officeDocument/2006/relationships/oleObject" Target="embeddings/oleObject70.bin"/><Relationship Id="rId145" Type="http://schemas.openxmlformats.org/officeDocument/2006/relationships/image" Target="media/image51.wmf"/><Relationship Id="rId144" Type="http://schemas.openxmlformats.org/officeDocument/2006/relationships/oleObject" Target="embeddings/oleObject69.bin"/><Relationship Id="rId143" Type="http://schemas.openxmlformats.org/officeDocument/2006/relationships/image" Target="media/image50.wmf"/><Relationship Id="rId142" Type="http://schemas.openxmlformats.org/officeDocument/2006/relationships/oleObject" Target="embeddings/oleObject68.bin"/><Relationship Id="rId141" Type="http://schemas.openxmlformats.org/officeDocument/2006/relationships/image" Target="media/image49.wmf"/><Relationship Id="rId140" Type="http://schemas.openxmlformats.org/officeDocument/2006/relationships/oleObject" Target="embeddings/oleObject67.bin"/><Relationship Id="rId14" Type="http://schemas.openxmlformats.org/officeDocument/2006/relationships/footer" Target="footer5.xml"/><Relationship Id="rId139" Type="http://schemas.openxmlformats.org/officeDocument/2006/relationships/image" Target="media/image48.wmf"/><Relationship Id="rId138" Type="http://schemas.openxmlformats.org/officeDocument/2006/relationships/oleObject" Target="embeddings/oleObject66.bin"/><Relationship Id="rId137" Type="http://schemas.openxmlformats.org/officeDocument/2006/relationships/image" Target="media/image47.wmf"/><Relationship Id="rId136" Type="http://schemas.openxmlformats.org/officeDocument/2006/relationships/oleObject" Target="embeddings/oleObject65.bin"/><Relationship Id="rId135" Type="http://schemas.openxmlformats.org/officeDocument/2006/relationships/image" Target="media/image46.wmf"/><Relationship Id="rId134" Type="http://schemas.openxmlformats.org/officeDocument/2006/relationships/oleObject" Target="embeddings/oleObject64.bin"/><Relationship Id="rId133" Type="http://schemas.openxmlformats.org/officeDocument/2006/relationships/oleObject" Target="embeddings/oleObject63.bin"/><Relationship Id="rId132" Type="http://schemas.openxmlformats.org/officeDocument/2006/relationships/oleObject" Target="embeddings/oleObject62.bin"/><Relationship Id="rId131" Type="http://schemas.openxmlformats.org/officeDocument/2006/relationships/image" Target="media/image45.wmf"/><Relationship Id="rId130" Type="http://schemas.openxmlformats.org/officeDocument/2006/relationships/oleObject" Target="embeddings/oleObject61.bin"/><Relationship Id="rId13" Type="http://schemas.openxmlformats.org/officeDocument/2006/relationships/footer" Target="footer4.xml"/><Relationship Id="rId129" Type="http://schemas.openxmlformats.org/officeDocument/2006/relationships/oleObject" Target="embeddings/oleObject60.bin"/><Relationship Id="rId128" Type="http://schemas.openxmlformats.org/officeDocument/2006/relationships/oleObject" Target="embeddings/oleObject59.bin"/><Relationship Id="rId127" Type="http://schemas.openxmlformats.org/officeDocument/2006/relationships/oleObject" Target="embeddings/oleObject58.bin"/><Relationship Id="rId126" Type="http://schemas.openxmlformats.org/officeDocument/2006/relationships/image" Target="media/image44.wmf"/><Relationship Id="rId125" Type="http://schemas.openxmlformats.org/officeDocument/2006/relationships/oleObject" Target="embeddings/oleObject57.bin"/><Relationship Id="rId124" Type="http://schemas.openxmlformats.org/officeDocument/2006/relationships/oleObject" Target="embeddings/oleObject56.bin"/><Relationship Id="rId123" Type="http://schemas.openxmlformats.org/officeDocument/2006/relationships/image" Target="media/image43.wmf"/><Relationship Id="rId122" Type="http://schemas.openxmlformats.org/officeDocument/2006/relationships/oleObject" Target="embeddings/oleObject55.bin"/><Relationship Id="rId121" Type="http://schemas.openxmlformats.org/officeDocument/2006/relationships/image" Target="media/image42.wmf"/><Relationship Id="rId120" Type="http://schemas.openxmlformats.org/officeDocument/2006/relationships/oleObject" Target="embeddings/oleObject54.bin"/><Relationship Id="rId12" Type="http://schemas.openxmlformats.org/officeDocument/2006/relationships/header" Target="header5.xml"/><Relationship Id="rId119" Type="http://schemas.openxmlformats.org/officeDocument/2006/relationships/image" Target="media/image41.wmf"/><Relationship Id="rId118" Type="http://schemas.openxmlformats.org/officeDocument/2006/relationships/oleObject" Target="embeddings/oleObject53.bin"/><Relationship Id="rId117" Type="http://schemas.openxmlformats.org/officeDocument/2006/relationships/oleObject" Target="embeddings/oleObject52.bin"/><Relationship Id="rId116" Type="http://schemas.openxmlformats.org/officeDocument/2006/relationships/oleObject" Target="embeddings/oleObject51.bin"/><Relationship Id="rId115" Type="http://schemas.openxmlformats.org/officeDocument/2006/relationships/image" Target="media/image40.wmf"/><Relationship Id="rId114" Type="http://schemas.openxmlformats.org/officeDocument/2006/relationships/oleObject" Target="embeddings/oleObject50.bin"/><Relationship Id="rId113" Type="http://schemas.openxmlformats.org/officeDocument/2006/relationships/image" Target="media/image39.wmf"/><Relationship Id="rId112" Type="http://schemas.openxmlformats.org/officeDocument/2006/relationships/oleObject" Target="embeddings/oleObject49.bin"/><Relationship Id="rId111" Type="http://schemas.openxmlformats.org/officeDocument/2006/relationships/image" Target="media/image38.wmf"/><Relationship Id="rId110" Type="http://schemas.openxmlformats.org/officeDocument/2006/relationships/oleObject" Target="embeddings/oleObject48.bin"/><Relationship Id="rId11" Type="http://schemas.openxmlformats.org/officeDocument/2006/relationships/header" Target="header4.xml"/><Relationship Id="rId109" Type="http://schemas.openxmlformats.org/officeDocument/2006/relationships/image" Target="media/image37.wmf"/><Relationship Id="rId108" Type="http://schemas.openxmlformats.org/officeDocument/2006/relationships/oleObject" Target="embeddings/oleObject47.bin"/><Relationship Id="rId107" Type="http://schemas.openxmlformats.org/officeDocument/2006/relationships/oleObject" Target="embeddings/oleObject46.bin"/><Relationship Id="rId106" Type="http://schemas.openxmlformats.org/officeDocument/2006/relationships/oleObject" Target="embeddings/oleObject45.bin"/><Relationship Id="rId105" Type="http://schemas.openxmlformats.org/officeDocument/2006/relationships/oleObject" Target="embeddings/oleObject44.bin"/><Relationship Id="rId104" Type="http://schemas.openxmlformats.org/officeDocument/2006/relationships/image" Target="media/image36.wmf"/><Relationship Id="rId103" Type="http://schemas.openxmlformats.org/officeDocument/2006/relationships/oleObject" Target="embeddings/oleObject43.bin"/><Relationship Id="rId102" Type="http://schemas.openxmlformats.org/officeDocument/2006/relationships/oleObject" Target="embeddings/oleObject42.bin"/><Relationship Id="rId101" Type="http://schemas.openxmlformats.org/officeDocument/2006/relationships/image" Target="media/image35.wmf"/><Relationship Id="rId100" Type="http://schemas.openxmlformats.org/officeDocument/2006/relationships/oleObject" Target="embeddings/oleObject41.bin"/><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2A2A0-C836-4766-9927-7AB5573135B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5388</Words>
  <Characters>6764</Characters>
  <Lines>88</Lines>
  <Paragraphs>24</Paragraphs>
  <TotalTime>9</TotalTime>
  <ScaleCrop>false</ScaleCrop>
  <LinksUpToDate>false</LinksUpToDate>
  <CharactersWithSpaces>7469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2024-01-22T02:30:00Z</dcterms:created>
  <dc:creator>PC</dc:creator>
  <cp:lastModifiedBy>河南速捷</cp:lastModifiedBy>
  <cp:lastPrinted>2024-06-01T00:23:00Z</cp:lastPrinted>
  <dcterms:modified xsi:type="dcterms:W3CDTF">2024-09-18T08:09:42Z</dcterms:modified>
  <dc:title>JJF（豫）</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BABC72E344BA417FA72BE5F05A7025D8_13</vt:lpwstr>
  </property>
</Properties>
</file>